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60" w:hanging="41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660" w:hanging="429"/>
        <w:spacing w:after="0"/>
        <w:tabs>
          <w:tab w:leader="none" w:pos="6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1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1-4908</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820" w:type="dxa"/>
            <w:vAlign w:val="bottom"/>
            <w:gridSpan w:val="2"/>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jc w:val="right"/>
              <w:ind w:right="1876"/>
              <w:spacing w:after="0"/>
              <w:rPr>
                <w:sz w:val="20"/>
                <w:szCs w:val="20"/>
                <w:color w:val="auto"/>
              </w:rPr>
            </w:pPr>
            <w:r>
              <w:rPr>
                <w:rFonts w:ascii="Times New Roman" w:cs="Times New Roman" w:eastAsia="Times New Roman" w:hAnsi="Times New Roman"/>
                <w:sz w:val="18"/>
                <w:szCs w:val="18"/>
                <w:b w:val="1"/>
                <w:bCs w:val="1"/>
                <w:color w:val="auto"/>
              </w:rPr>
              <w:t>04-2207613</w:t>
            </w:r>
          </w:p>
        </w:tc>
      </w:tr>
      <w:tr>
        <w:trPr>
          <w:trHeight w:val="190"/>
        </w:trPr>
        <w:tc>
          <w:tcPr>
            <w:tcW w:w="4820" w:type="dxa"/>
            <w:vAlign w:val="bottom"/>
            <w:gridSpan w:val="2"/>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tcPr>
          <w:p>
            <w:pPr>
              <w:jc w:val="center"/>
              <w:ind w:right="99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4820" w:type="dxa"/>
            <w:vAlign w:val="bottom"/>
            <w:gridSpan w:val="2"/>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770 Cochituate Road Framingham, Massachusetts</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tcPr>
          <w:p>
            <w:pPr>
              <w:jc w:val="right"/>
              <w:ind w:right="2076"/>
              <w:spacing w:after="0"/>
              <w:rPr>
                <w:sz w:val="20"/>
                <w:szCs w:val="20"/>
                <w:color w:val="auto"/>
              </w:rPr>
            </w:pPr>
            <w:r>
              <w:rPr>
                <w:rFonts w:ascii="Times New Roman" w:cs="Times New Roman" w:eastAsia="Times New Roman" w:hAnsi="Times New Roman"/>
                <w:sz w:val="18"/>
                <w:szCs w:val="18"/>
                <w:b w:val="1"/>
                <w:bCs w:val="1"/>
                <w:color w:val="auto"/>
              </w:rPr>
              <w:t>01701</w:t>
            </w:r>
          </w:p>
        </w:tc>
      </w:tr>
      <w:tr>
        <w:trPr>
          <w:trHeight w:val="190"/>
        </w:trPr>
        <w:tc>
          <w:tcPr>
            <w:tcW w:w="4820" w:type="dxa"/>
            <w:vAlign w:val="bottom"/>
            <w:gridSpan w:val="2"/>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tcPr>
          <w:p>
            <w:pPr>
              <w:jc w:val="center"/>
              <w:ind w:right="97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(508) 390-1000</w:t>
            </w:r>
          </w:p>
        </w:tc>
        <w:tc>
          <w:tcPr>
            <w:tcW w:w="5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20"/>
        </w:trPr>
        <w:tc>
          <w:tcPr>
            <w:tcW w:w="7260" w:type="dxa"/>
            <w:vAlign w:val="bottom"/>
            <w:gridSpan w:val="4"/>
          </w:tcPr>
          <w:p>
            <w:pPr>
              <w:jc w:val="center"/>
              <w:ind w:left="389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20" w:type="dxa"/>
            <w:vAlign w:val="bottom"/>
          </w:tcPr>
          <w:p>
            <w:pPr>
              <w:spacing w:after="0"/>
              <w:rPr>
                <w:sz w:val="19"/>
                <w:szCs w:val="19"/>
                <w:color w:val="auto"/>
              </w:rPr>
            </w:pPr>
          </w:p>
        </w:tc>
      </w:tr>
      <w:tr>
        <w:trPr>
          <w:trHeight w:val="28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TJX</w:t>
            </w:r>
          </w:p>
        </w:tc>
        <w:tc>
          <w:tcPr>
            <w:tcW w:w="5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56"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60" w:right="11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registrant’s common stock outstanding as of May 22, 2026: 1,104,704,446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7640" w:type="dxa"/>
            <w:vAlign w:val="bottom"/>
            <w:gridSpan w:val="6"/>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640" w:type="dxa"/>
            <w:vAlign w:val="bottom"/>
            <w:gridSpan w:val="6"/>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gridSpan w:val="7"/>
          </w:tcPr>
          <w:p>
            <w:pPr>
              <w:spacing w:after="0"/>
              <w:rPr>
                <w:sz w:val="18"/>
                <w:szCs w:val="18"/>
                <w:color w:val="auto"/>
              </w:rPr>
            </w:pPr>
          </w:p>
        </w:tc>
        <w:tc>
          <w:tcPr>
            <w:tcW w:w="686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20" w:type="dxa"/>
            <w:vAlign w:val="bottom"/>
            <w:gridSpan w:val="7"/>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20" w:type="dxa"/>
            <w:vAlign w:val="bottom"/>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20" w:type="dxa"/>
            <w:vAlign w:val="bottom"/>
          </w:tcPr>
          <w:p>
            <w:pPr>
              <w:spacing w:after="0"/>
              <w:rPr>
                <w:sz w:val="18"/>
                <w:szCs w:val="18"/>
                <w:color w:val="auto"/>
              </w:rPr>
            </w:pPr>
          </w:p>
        </w:tc>
        <w:tc>
          <w:tcPr>
            <w:tcW w:w="708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4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7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32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4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10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200" w:type="dxa"/>
            <w:vAlign w:val="bottom"/>
          </w:tcPr>
          <w:p>
            <w:pPr>
              <w:spacing w:after="0"/>
              <w:rPr>
                <w:sz w:val="18"/>
                <w:szCs w:val="18"/>
                <w:color w:val="auto"/>
              </w:rPr>
            </w:pPr>
          </w:p>
        </w:tc>
        <w:tc>
          <w:tcPr>
            <w:tcW w:w="2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82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10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200" w:type="dxa"/>
            <w:vAlign w:val="bottom"/>
          </w:tcPr>
          <w:p>
            <w:pPr>
              <w:spacing w:after="0"/>
              <w:rPr>
                <w:sz w:val="18"/>
                <w:szCs w:val="18"/>
                <w:color w:val="auto"/>
              </w:rPr>
            </w:pPr>
          </w:p>
        </w:tc>
        <w:tc>
          <w:tcPr>
            <w:tcW w:w="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436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58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200" w:type="dxa"/>
            <w:vAlign w:val="bottom"/>
          </w:tcPr>
          <w:p>
            <w:pPr>
              <w:spacing w:after="0"/>
              <w:rPr>
                <w:sz w:val="18"/>
                <w:szCs w:val="18"/>
                <w:color w:val="auto"/>
              </w:rPr>
            </w:pPr>
          </w:p>
        </w:tc>
        <w:tc>
          <w:tcPr>
            <w:tcW w:w="6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8"/>
                <w:szCs w:val="18"/>
                <w:color w:val="auto"/>
              </w:rPr>
            </w:pPr>
          </w:p>
        </w:tc>
        <w:tc>
          <w:tcPr>
            <w:tcW w:w="884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493"/>
        </w:trPr>
        <w:tc>
          <w:tcPr>
            <w:tcW w:w="110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0000FF"/>
              </w:rPr>
              <w:t>SIGNATURE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7"/>
        </w:trPr>
        <w:tc>
          <w:tcPr>
            <w:tcW w:w="2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ind w:right="3720" w:firstLine="3740"/>
        <w:spacing w:after="0" w:line="377" w:lineRule="auto"/>
        <w:rPr>
          <w:sz w:val="20"/>
          <w:szCs w:val="20"/>
          <w:color w:val="auto"/>
        </w:rPr>
      </w:pPr>
      <w:r>
        <w:rPr>
          <w:rFonts w:ascii="Times New Roman" w:cs="Times New Roman" w:eastAsia="Times New Roman" w:hAnsi="Times New Roman"/>
          <w:sz w:val="22"/>
          <w:szCs w:val="22"/>
          <w:b w:val="1"/>
          <w:bCs w:val="1"/>
          <w:color w:val="auto"/>
        </w:rPr>
        <w:t>PART I - FINANCIAL INFORMATION Item 1. Consolidated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00" w:type="dxa"/>
            <w:vAlign w:val="bottom"/>
          </w:tcPr>
          <w:p>
            <w:pPr>
              <w:spacing w:after="0"/>
              <w:rPr>
                <w:sz w:val="14"/>
                <w:szCs w:val="14"/>
                <w:color w:val="auto"/>
              </w:rPr>
            </w:pPr>
          </w:p>
        </w:tc>
        <w:tc>
          <w:tcPr>
            <w:tcW w:w="112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13,111</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r>
      <w:tr>
        <w:trPr>
          <w:trHeight w:val="223"/>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0"/>
        </w:trPr>
        <w:tc>
          <w:tcPr>
            <w:tcW w:w="8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IN MILLIONS</w:t>
      </w:r>
    </w:p>
    <w:p>
      <w:pPr>
        <w:spacing w:after="0" w:line="28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May 2,</w:t>
            </w:r>
          </w:p>
        </w:tc>
        <w:tc>
          <w:tcPr>
            <w:tcW w:w="4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10"/>
              <w:spacing w:after="0" w:line="174" w:lineRule="exact"/>
              <w:rPr>
                <w:sz w:val="20"/>
                <w:szCs w:val="20"/>
                <w:color w:val="auto"/>
              </w:rPr>
            </w:pPr>
            <w:r>
              <w:rPr>
                <w:rFonts w:ascii="Times New Roman" w:cs="Times New Roman" w:eastAsia="Times New Roman" w:hAnsi="Times New Roman"/>
                <w:sz w:val="18"/>
                <w:szCs w:val="18"/>
                <w:color w:val="auto"/>
              </w:rPr>
              <w:t>May 3,</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1,332</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 income, net of tax:</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related tax provision of $1 in fiscal 2027 and of $4 in fiscal</w:t>
            </w:r>
          </w:p>
        </w:tc>
        <w:tc>
          <w:tcPr>
            <w:tcW w:w="104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income, net of tax, to net income:</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18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 and deferred gains/(losses), net of related tax provision of $0.0 in fiscal</w:t>
            </w:r>
          </w:p>
        </w:tc>
        <w:tc>
          <w:tcPr>
            <w:tcW w:w="104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 and tax benefit of $0.1 in fiscal 2026</w:t>
            </w:r>
          </w:p>
        </w:tc>
        <w:tc>
          <w:tcPr>
            <w:tcW w:w="10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1,312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7"/>
                <w:szCs w:val="17"/>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January 31,</w:t>
            </w:r>
          </w:p>
        </w:tc>
        <w:tc>
          <w:tcPr>
            <w:tcW w:w="320" w:type="dxa"/>
            <w:vAlign w:val="bottom"/>
          </w:tcPr>
          <w:p>
            <w:pPr>
              <w:spacing w:after="0"/>
              <w:rPr>
                <w:sz w:val="17"/>
                <w:szCs w:val="17"/>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May 3,</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0" w:type="dxa"/>
            <w:vAlign w:val="bottom"/>
          </w:tcPr>
          <w:p>
            <w:pPr>
              <w:spacing w:after="0"/>
              <w:rPr>
                <w:sz w:val="1"/>
                <w:szCs w:val="1"/>
                <w:color w:val="auto"/>
              </w:rPr>
            </w:pPr>
          </w:p>
        </w:tc>
      </w:tr>
      <w:tr>
        <w:trPr>
          <w:trHeight w:val="22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state and foreign income taxes recoverable</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14,640</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at cost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36,158</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31,858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state and foreign income taxes payable</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12,855</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K)</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 5,000,000 shares, par value $1, no shares issued</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authorized 1,800,000,000 shares, par value $1, issued and outstanding</w:t>
            </w:r>
          </w:p>
        </w:tc>
        <w:tc>
          <w:tcPr>
            <w:tcW w:w="5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1,105,051,999; 1,107,087,991 and 1,115,814,224 shares respectively</w:t>
            </w:r>
          </w:p>
        </w:tc>
        <w:tc>
          <w:tcPr>
            <w:tcW w:w="5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9,669</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10,403</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36,158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31,858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74"/>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410"/>
              <w:spacing w:after="0" w:line="174" w:lineRule="exact"/>
              <w:rPr>
                <w:sz w:val="20"/>
                <w:szCs w:val="20"/>
                <w:color w:val="auto"/>
              </w:rPr>
            </w:pPr>
            <w:r>
              <w:rPr>
                <w:rFonts w:ascii="Times New Roman" w:cs="Times New Roman" w:eastAsia="Times New Roman" w:hAnsi="Times New Roman"/>
                <w:sz w:val="18"/>
                <w:szCs w:val="18"/>
                <w:b w:val="1"/>
                <w:bCs w:val="1"/>
                <w:color w:val="auto"/>
              </w:rPr>
              <w:t>May 2,</w:t>
            </w:r>
          </w:p>
        </w:tc>
        <w:tc>
          <w:tcPr>
            <w:tcW w:w="300" w:type="dxa"/>
            <w:vAlign w:val="bottom"/>
          </w:tcPr>
          <w:p>
            <w:pPr>
              <w:spacing w:after="0"/>
              <w:rPr>
                <w:sz w:val="15"/>
                <w:szCs w:val="15"/>
                <w:color w:val="auto"/>
              </w:rPr>
            </w:pPr>
          </w:p>
        </w:tc>
        <w:tc>
          <w:tcPr>
            <w:tcW w:w="1220" w:type="dxa"/>
            <w:vAlign w:val="bottom"/>
          </w:tcPr>
          <w:p>
            <w:pPr>
              <w:jc w:val="right"/>
              <w:ind w:right="410"/>
              <w:spacing w:after="0" w:line="174" w:lineRule="exact"/>
              <w:rPr>
                <w:sz w:val="20"/>
                <w:szCs w:val="20"/>
                <w:color w:val="auto"/>
              </w:rPr>
            </w:pPr>
            <w:r>
              <w:rPr>
                <w:rFonts w:ascii="Times New Roman" w:cs="Times New Roman" w:eastAsia="Times New Roman" w:hAnsi="Times New Roman"/>
                <w:sz w:val="18"/>
                <w:szCs w:val="18"/>
                <w:color w:val="auto"/>
              </w:rPr>
              <w:t>May 3,</w:t>
            </w:r>
          </w:p>
        </w:tc>
      </w:tr>
      <w:tr>
        <w:trPr>
          <w:trHeight w:val="238"/>
        </w:trPr>
        <w:tc>
          <w:tcPr>
            <w:tcW w:w="8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property disposals and impairment charges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(Increase) in merchandise inventories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(Increase) decrease in income taxes recoverable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(Decrease) in accrued expenses and other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(Decrease) in net operating lease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1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additions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equity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paid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1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4,255</w:t>
            </w: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Thirteen Weeks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5"/>
              </w:rPr>
              <w:t>Par Value</w:t>
            </w: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In</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10,190</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42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5"/>
                <w:szCs w:val="15"/>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2, 2026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9,669</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10,403</w:t>
            </w:r>
          </w:p>
        </w:tc>
        <w:tc>
          <w:tcPr>
            <w:tcW w:w="0" w:type="dxa"/>
            <w:vAlign w:val="bottom"/>
          </w:tcPr>
          <w:p>
            <w:pPr>
              <w:spacing w:after="0"/>
              <w:rPr>
                <w:sz w:val="1"/>
                <w:szCs w:val="1"/>
                <w:color w:val="auto"/>
              </w:rPr>
            </w:pPr>
          </w:p>
        </w:tc>
      </w:tr>
      <w:tr>
        <w:trPr>
          <w:trHeight w:val="453"/>
        </w:trPr>
        <w:tc>
          <w:tcPr>
            <w:tcW w:w="35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Thirteen Weeks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5"/>
              </w:rPr>
              <w:t>Par Value</w:t>
            </w: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In</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5"/>
                <w:szCs w:val="15"/>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 and retired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7,851</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A. Basis of Presentation and Summary of Significant Accounting Policies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and Notes thereto have been prepared in accordance with accounting principles generally accepted in the United States of America (“GAAP”) for interim financial information. These Consolidated Financial Statements and Notes thereto are unaudited and, in the opinion of management, reflect all normal recurring adjustments, accruals and deferrals among periods required to match costs properly with the related revenue or activity, considered necessary by The TJX Companies, Inc. (together with its subsidiaries, “TJX”) for a fair statement of its Consolidated Financial Statements for the periods reported, all in conformity with GAAP consistently applied. All intercompany transactions have been eliminated in consolidation. Investments for which the Company exercises significant influence but does not have control are accounted for under the equity method. The Consolidated Financial Statements and Notes thereto should be read in conjunction with the audited Consolidated Financial Statements, including the related notes, contained in TJX’s Annual Report on Form 10-K for the fiscal year ended January 31, 2026 (“fiscal 2026”).</w:t>
      </w:r>
    </w:p>
    <w:p>
      <w:pPr>
        <w:spacing w:after="0" w:line="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interim results are not necessarily indicative of results for the full fiscal year. TJX’s business, in common with the businesses of retailers generally, is subject to seasonal influences, with higher levels of sales and income generally realized in the second half of the year.</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January 31, 2026 balance sheet data was derived from audited Consolidated Financial Statements and does not include all disclosures required by GAAP.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1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TJX’s fiscal year ends on the Saturday nearest to the last day of January of each year. The current fiscal year ends January 30, 2027 (“fiscal 2027”) and is a 52-week fiscal year. Fiscal 2026 was a 52-week fiscal year. “Fiscal 2028” will be a 52-week fiscal year and “fiscal 2029” will be a 53-week fiscal year and will end January 29, 2028 and February 3, 2029,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Gift Card 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deferred gift card revenue activity:</w:t>
            </w:r>
          </w:p>
        </w:tc>
        <w:tc>
          <w:tcPr>
            <w:tcW w:w="2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3"/>
        </w:trPr>
        <w:tc>
          <w:tcPr>
            <w:tcW w:w="6400" w:type="dxa"/>
            <w:vAlign w:val="bottom"/>
          </w:tcPr>
          <w:p>
            <w:pPr>
              <w:spacing w:after="0"/>
              <w:rPr>
                <w:sz w:val="17"/>
                <w:szCs w:val="17"/>
                <w:color w:val="auto"/>
              </w:rPr>
            </w:pPr>
          </w:p>
        </w:tc>
        <w:tc>
          <w:tcPr>
            <w:tcW w:w="2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May 2,</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8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deferred revenue</w:t>
            </w:r>
          </w:p>
        </w:tc>
        <w:tc>
          <w:tcPr>
            <w:tcW w:w="2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28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TJX recognized $472 million in gift card revenue for the three months ended May 2, 2026 and $444 million for the three months ended May 3, 2025. 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4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 of use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investments in Multibrand Outlet Stores S.A.P.I. de C.V. (“MOS”) and Brands for Less (“BFL”). Both investments are accounted for under the equity method of accounting and are recorded in Other assets on the Consolidated Balance Sheets. TJX reports the results of its share of the investments in MOS and BFL on a one-quarter lag, as their results are not expected to be available in time to be recorded in the concurrent period. Earnings from the investments in MOS and BFL are recorded in Selling, general &amp; administrative expenses on the Consolidated Statements of Income and did not have a material impact on the Company’s results for the three months ended May 2, 2026 and May 3, 2025.</w:t>
      </w:r>
    </w:p>
    <w:p>
      <w:pPr>
        <w:spacing w:after="0" w:line="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Additionally, both equity investments are evaluated for indicators of impairment on a periodic basis or whenever events or circumstances indicate the carrying amount may be other-than-temporarily impaired. As of May 2, 2026, the Company determined that no impairments of its equity method investments existed.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Multibrand Outlet Stores</w:t>
      </w:r>
    </w:p>
    <w:p>
      <w:pPr>
        <w:spacing w:after="0" w:line="11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has a 49% ownership stake in MOS, through a joint venture with Grupo Axo, S.A.P.I de C.V. (“Axo”). MOS is Axo’s off-price, physical store business in Mexico and includes a total of over 200 stores for its Promoda, Reduced, and Urban Store banners. TJX has the option to increase its ownership interest in the joint venture over the long term.</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the three months ended May 2, 2026, the carrying value of the Company’s equity investment in MOS was $226 million, which exceeds its share of MOS’ net assets by approximately $185 million. For the three months ended May 3, 2025, the carrying value of the Company’s equity investment in MOS was $177 million, which exceeds its share of MOS’ net assets by approximately $140 million. The difference primarily consists of goodwill and tradenames. Tradenames are definite-lived intangible assets and are amortized straight-line over their useful lives of 10 years. The carrying value of this equity investment is adjusted for the Company’s share of MOS’s results, tradename amortization, cumulative translation adjustments and additional capital contributions. The cumulative translation adjustment is recorded in the Consolidated Balance Sheets as a component of Accumulated other comprehensive (loss)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Brands for Less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a 35% ownership stake in privately held BFL, representing a non-controlling, minority position. BFL currently operates over 100 stores, primarily in the UAE and Saudi Arabia, as well as an e-commerce business, and is the region’s only major off-price branded apparel, toys and home fashions retailer.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May 2, 2026, the carrying value of the Company’s equity investment in BFL was $340 million, which exceeds its share of BFL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by approximately $299 million. For the three months ended May 3, 2025, the carrying value of the Company’s equity investment in BFL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$335 million, which exceeds its share of BFL net assets by approximately $291 million. The difference primarily consists of goodwill and a tradename.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 is a definite-lived intangible asset and will be amortized straight-line over the useful life of 15 years. The carrying value of this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is adjusted for the Company’s share of BFL’s results and tradename amortization.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 Settlement Related to Credit Card Interchange Fees</w:t>
      </w:r>
    </w:p>
    <w:p>
      <w:pPr>
        <w:spacing w:after="0" w:line="1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2026, the Company entered into a settlement agreement to resolve litigation related to credit card interchange fees in which the Company was a plaintiff. The settlement resulted in a non-recurring gain of $419 million, net of legal expenses, which was recorded during the fourth quarter of fiscal 2026. Amounts related to the settlement were received during the quarter ended May 2, 2026 and reflected in operating activities of the Consolidated Statements of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Adoption of New Accounting Standards</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or other standard setting bodies issue new accounting pronouncements. Updates to the FASB Accounting Standards Codification are communicated through issuance of an Accounting Standards Update (“ASU”). Unless otherwise discussed, the Company has reviewed the new guidance and has determined that it will either not apply to TJX or is not expected to be material to its Consolidated Financial Statements upon adoption, and, therefore, the guidance is not disclosed.</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Income Statement Expenses</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new guidance to enhance the disclosure of expenses by requiring further disaggregation of relevant expenses in a separate note to the financial statements. This standard is effective for fiscal years beginning after December 15, 2026, and for interim periods within fiscal years beginning after December 15, 2027, with early adoption permitted. The Company is currently evaluating the impact of this adoption on its consolidated financial statement disclosures and plans to adopt this standard for the fiscal 2028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Accounting for Internal-Use Software</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new guidance to modernize the accounting for internal-use software costs by increasing the operability of the recognition guidance considering different methods of software development. This standard is effective for fiscal years beginning after December 15, 2027, and for interim periods within those fiscal years, with early adoption permitted. The Company is currently evaluating the impact of the adoption on its consolidated financial statement disclosures and plans to adopt this standard for annual reporting as well as interim period reporting beginning in fiscal year 2029.</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B. Property at Cost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property at cost:</w:t>
            </w: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7"/>
        </w:trPr>
        <w:tc>
          <w:tcPr>
            <w:tcW w:w="5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January 31,</w:t>
            </w:r>
          </w:p>
        </w:tc>
        <w:tc>
          <w:tcPr>
            <w:tcW w:w="320" w:type="dxa"/>
            <w:vAlign w:val="bottom"/>
          </w:tcPr>
          <w:p>
            <w:pPr>
              <w:spacing w:after="0"/>
              <w:rPr>
                <w:sz w:val="18"/>
                <w:szCs w:val="18"/>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May 3,</w:t>
            </w:r>
          </w:p>
        </w:tc>
      </w:tr>
      <w:tr>
        <w:trPr>
          <w:trHeight w:val="238"/>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costs and improvements</w:t>
            </w:r>
          </w:p>
        </w:tc>
        <w:tc>
          <w:tcPr>
            <w:tcW w:w="1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9,686</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23"/>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at cost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16,539</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23"/>
        </w:trPr>
        <w:tc>
          <w:tcPr>
            <w:tcW w:w="5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property at cost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$335 million and $295 million for the three months ended May 2, 2026 and May 3, 2025, respectively.</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Non-cash investing activities consist of accrued capital additions of $214 million and $166 million as of the periods ended May 2, 2026 and May 3, 2025,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C. Accumulated Other Comprehensive (Loss) Income</w:t>
      </w:r>
    </w:p>
    <w:p>
      <w:pPr>
        <w:spacing w:after="0" w:line="111"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Amounts included in Accumulated other comprehensive (loss) income are recorded net of taxes. The following table details the changes in Accumulated other comprehensive (loss) income for the twelve months ended January 31, 2026 and the three months ended May 2, 2026:</w:t>
      </w:r>
    </w:p>
    <w:tbl>
      <w:tblPr>
        <w:tblLayout w:type="fixed"/>
        <w:tblInd w:w="0" w:type="dxa"/>
        <w:tblCellMar>
          <w:top w:w="0" w:type="dxa"/>
          <w:left w:w="0" w:type="dxa"/>
          <w:bottom w:w="0" w:type="dxa"/>
          <w:right w:w="0" w:type="dxa"/>
        </w:tblCellMar>
      </w:tblPr>
      <w:tr>
        <w:trPr>
          <w:trHeight w:val="191"/>
        </w:trPr>
        <w:tc>
          <w:tcPr>
            <w:tcW w:w="6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Foreign</w:t>
            </w:r>
          </w:p>
        </w:tc>
        <w:tc>
          <w:tcPr>
            <w:tcW w:w="240" w:type="dxa"/>
            <w:vAlign w:val="bottom"/>
          </w:tcPr>
          <w:p>
            <w:pPr>
              <w:spacing w:after="0"/>
              <w:rPr>
                <w:sz w:val="16"/>
                <w:szCs w:val="16"/>
                <w:color w:val="auto"/>
              </w:rPr>
            </w:pPr>
          </w:p>
        </w:tc>
        <w:tc>
          <w:tcPr>
            <w:tcW w:w="11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Deferred</w:t>
            </w:r>
          </w:p>
        </w:tc>
        <w:tc>
          <w:tcPr>
            <w:tcW w:w="140" w:type="dxa"/>
            <w:vAlign w:val="bottom"/>
          </w:tcPr>
          <w:p>
            <w:pPr>
              <w:spacing w:after="0"/>
              <w:rPr>
                <w:sz w:val="16"/>
                <w:szCs w:val="16"/>
                <w:color w:val="auto"/>
              </w:rPr>
            </w:pPr>
          </w:p>
        </w:tc>
        <w:tc>
          <w:tcPr>
            <w:tcW w:w="136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80"/>
        </w:trPr>
        <w:tc>
          <w:tcPr>
            <w:tcW w:w="6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Benefit</w:t>
            </w:r>
          </w:p>
        </w:tc>
        <w:tc>
          <w:tcPr>
            <w:tcW w:w="140" w:type="dxa"/>
            <w:vAlign w:val="bottom"/>
          </w:tcPr>
          <w:p>
            <w:pPr>
              <w:spacing w:after="0"/>
              <w:rPr>
                <w:sz w:val="15"/>
                <w:szCs w:val="15"/>
                <w:color w:val="auto"/>
              </w:rPr>
            </w:pPr>
          </w:p>
        </w:tc>
        <w:tc>
          <w:tcPr>
            <w:tcW w:w="13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taxes</w:t>
            </w: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Costs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(Loss) Income</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1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(losses), net of taxes</w:t>
            </w: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1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2, 2026</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Note D. Capital Stock and Earnings Per Share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1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February 2026, the Company announced that its Board of Directors had approved a new stock repurchase program that authorizes the repurchase of up to an additional $3.0 billion of TJX common stock from time to time. Under this program and previously announced programs, TJX had approximately $3.5 billion available for repurchase as of May 2, 2026.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share repurchases, excluding applicable excise tax:</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64"/>
        </w:trPr>
        <w:tc>
          <w:tcPr>
            <w:tcW w:w="844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Thirteen Weeks Ended</w:t>
            </w:r>
          </w:p>
        </w:tc>
        <w:tc>
          <w:tcPr>
            <w:tcW w:w="400" w:type="dxa"/>
            <w:vAlign w:val="bottom"/>
            <w:tcBorders>
              <w:bottom w:val="single" w:sz="8" w:color="auto"/>
            </w:tcBorders>
          </w:tcPr>
          <w:p>
            <w:pPr>
              <w:spacing w:after="0"/>
              <w:rPr>
                <w:sz w:val="24"/>
                <w:szCs w:val="24"/>
                <w:color w:val="auto"/>
              </w:rPr>
            </w:pPr>
          </w:p>
        </w:tc>
      </w:tr>
      <w:tr>
        <w:trPr>
          <w:trHeight w:val="169"/>
        </w:trPr>
        <w:tc>
          <w:tcPr>
            <w:tcW w:w="8440" w:type="dxa"/>
            <w:vAlign w:val="bottom"/>
          </w:tcPr>
          <w:p>
            <w:pPr>
              <w:spacing w:after="0"/>
              <w:rPr>
                <w:sz w:val="14"/>
                <w:szCs w:val="14"/>
                <w:color w:val="auto"/>
              </w:rPr>
            </w:pPr>
          </w:p>
        </w:tc>
        <w:tc>
          <w:tcPr>
            <w:tcW w:w="1000" w:type="dxa"/>
            <w:vAlign w:val="bottom"/>
          </w:tcPr>
          <w:p>
            <w:pPr>
              <w:jc w:val="center"/>
              <w:ind w:left="2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14"/>
                <w:szCs w:val="14"/>
                <w:color w:val="auto"/>
              </w:rPr>
            </w:pPr>
          </w:p>
        </w:tc>
        <w:tc>
          <w:tcPr>
            <w:tcW w:w="1040" w:type="dxa"/>
            <w:vAlign w:val="bottom"/>
          </w:tcPr>
          <w:p>
            <w:pPr>
              <w:jc w:val="center"/>
              <w:ind w:left="350"/>
              <w:spacing w:after="0" w:line="169" w:lineRule="exact"/>
              <w:rPr>
                <w:sz w:val="20"/>
                <w:szCs w:val="20"/>
                <w:color w:val="auto"/>
              </w:rPr>
            </w:pPr>
            <w:r>
              <w:rPr>
                <w:rFonts w:ascii="Times New Roman" w:cs="Times New Roman" w:eastAsia="Times New Roman" w:hAnsi="Times New Roman"/>
                <w:sz w:val="18"/>
                <w:szCs w:val="18"/>
                <w:color w:val="auto"/>
              </w:rPr>
              <w:t>May 3,</w:t>
            </w:r>
          </w:p>
        </w:tc>
        <w:tc>
          <w:tcPr>
            <w:tcW w:w="400" w:type="dxa"/>
            <w:vAlign w:val="bottom"/>
          </w:tcPr>
          <w:p>
            <w:pPr>
              <w:spacing w:after="0"/>
              <w:rPr>
                <w:sz w:val="14"/>
                <w:szCs w:val="14"/>
                <w:color w:val="auto"/>
              </w:rPr>
            </w:pPr>
          </w:p>
        </w:tc>
      </w:tr>
      <w:tr>
        <w:trPr>
          <w:trHeight w:val="241"/>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 and retired</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10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r>
    </w:tbl>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shares repurchased under the stock repurchase programs have been retired. These expenditures were funded by cash on hand and cash generated from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8280" w:type="dxa"/>
            <w:vAlign w:val="bottom"/>
          </w:tcPr>
          <w:p>
            <w:pPr>
              <w:spacing w:after="0"/>
              <w:rPr>
                <w:sz w:val="22"/>
                <w:szCs w:val="22"/>
                <w:color w:val="auto"/>
              </w:rPr>
            </w:pPr>
          </w:p>
        </w:tc>
        <w:tc>
          <w:tcPr>
            <w:tcW w:w="29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2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earnings per share:</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1,332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1,106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1,332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1,106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8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Assumed exercise/vesting of stock options and awards</w:t>
            </w: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earnings per share calculation</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1,120</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0"/>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dividends declared per share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0.480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0.425</w:t>
            </w: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3 million and 4 million antidilutive options excluded for the thirteen weeks ended May 2, 2026 and May 3,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E. Financial Instruments</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Consolidated Balance Sheets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Accumulated other comprehensive (loss) income or are recognized currently in earnings, along with an offsetting adjustment against the basis of the item being hedged. Gains and losses on derivative instruments are reported in the Consolidated Statements of Cash Flows in operating activities, under Other, net.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Diesel Fuel Contracts</w:t>
      </w:r>
    </w:p>
    <w:p>
      <w:pPr>
        <w:spacing w:after="0" w:line="13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TJX hedges portions of its estimated notional diesel fuel requirements in the U.S. based on the diesel fuel expected to be consumed by independent freight carriers transporting TJX’s inventory. Independent freight carriers transporting TJX’s inventory charge TJX a mileage surcharge based on the price of diesel fuel. The hedge agreements are economic hedges designed to mitigate the volatility of diesel fuel pricing, and the resulting per mile surcharges payable by TJX, by setting a fixed price per gallon for the period being hedged. Generally, the Company’s intention is to hedge approximately 50% of its estimated notional domestic diesel fuel requirements for the succeeding twelve months. The hedge agreements outstanding at May 2, 2026 relate to approximately 40% of TJX’s estimated notional diesel fuel requirements for the remainder of fiscal 2027 and the first quarter of fiscal 2028. These diesel fuel hedge agreements will settle throughout fiscal 2027 and throughout the first four months of fiscal 2028. Upon settlement, the realized gains and losses on these contracts are recorded in Cost of sales, including buying and occupancy costs. TJX elected not to apply hedge accounting to these contracts.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Contracts</w:t>
      </w:r>
    </w:p>
    <w:p>
      <w:pPr>
        <w:spacing w:after="0" w:line="13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May 2, 2026 cover merchandise purchases the Company is committed to over the next several months in fiscal 2027. Additionally, TJX’s operations in Europe are subject to foreign currency exposure as a result of their U.K. centralized buying function. Merchandise is purchased centrally in the U.K.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excess exposure. Upon settlement, the realized gains and losses on these contracts are recorded in Cost of sales, including buying and occupancy costs. TJX elected not to apply hedge accounting to these contracts.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May 2,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Net Fair</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7"/>
              </w:rPr>
              <w:t>Value in</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Blended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 Sheet</w:t>
            </w:r>
          </w:p>
        </w:tc>
        <w:tc>
          <w:tcPr>
            <w:tcW w:w="360" w:type="dxa"/>
            <w:vAlign w:val="bottom"/>
          </w:tcPr>
          <w:p>
            <w:pPr>
              <w:spacing w:after="0"/>
              <w:rPr>
                <w:sz w:val="15"/>
                <w:szCs w:val="15"/>
                <w:color w:val="auto"/>
              </w:rPr>
            </w:pPr>
          </w:p>
        </w:tc>
        <w:tc>
          <w:tcPr>
            <w:tcW w:w="1040" w:type="dxa"/>
            <w:vAlign w:val="bottom"/>
          </w:tcPr>
          <w:p>
            <w:pPr>
              <w:jc w:val="right"/>
              <w:ind w:right="250"/>
              <w:spacing w:after="0" w:line="181" w:lineRule="exact"/>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15"/>
                <w:szCs w:val="15"/>
                <w:color w:val="auto"/>
              </w:rPr>
            </w:pPr>
          </w:p>
        </w:tc>
        <w:tc>
          <w:tcPr>
            <w:tcW w:w="142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8"/>
              </w:rPr>
              <w:t>Current</w:t>
            </w:r>
          </w:p>
        </w:tc>
        <w:tc>
          <w:tcPr>
            <w:tcW w:w="10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U.S.$ at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60" w:type="dxa"/>
            <w:vAlign w:val="bottom"/>
          </w:tcPr>
          <w:p>
            <w:pPr>
              <w:spacing w:after="0"/>
              <w:rPr>
                <w:sz w:val="15"/>
                <w:szCs w:val="15"/>
                <w:color w:val="auto"/>
              </w:rPr>
            </w:pPr>
          </w:p>
        </w:tc>
        <w:tc>
          <w:tcPr>
            <w:tcW w:w="1420" w:type="dxa"/>
            <w:vAlign w:val="bottom"/>
          </w:tcPr>
          <w:p>
            <w:pPr>
              <w:jc w:val="center"/>
              <w:ind w:right="39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0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May 2,</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Receive</w:t>
            </w: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Rate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7"/>
              </w:rPr>
              <w:t>U.S.$</w:t>
            </w: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4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0.8788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9"/>
        </w:trPr>
        <w:tc>
          <w:tcPr>
            <w:tcW w:w="14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spacing w:after="0"/>
              <w:rPr>
                <w:sz w:val="19"/>
                <w:szCs w:val="19"/>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0.6648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14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1.1869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Fixed on</w:t>
            </w:r>
          </w:p>
        </w:tc>
        <w:tc>
          <w:tcPr>
            <w:tcW w:w="1500" w:type="dxa"/>
            <w:vAlign w:val="bottom"/>
            <w:shd w:val="clear" w:color="auto" w:fill="CCEEFF"/>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rPr>
              <w:t>Float on</w:t>
            </w: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81"/>
        </w:trPr>
        <w:tc>
          <w:tcPr>
            <w:tcW w:w="1160" w:type="dxa"/>
            <w:vAlign w:val="bottom"/>
            <w:vMerge w:val="continue"/>
            <w:shd w:val="clear" w:color="auto" w:fill="CCEEFF"/>
          </w:tcPr>
          <w:p>
            <w:pPr>
              <w:spacing w:after="0"/>
              <w:rPr>
                <w:sz w:val="7"/>
                <w:szCs w:val="7"/>
                <w:color w:val="auto"/>
              </w:rPr>
            </w:pPr>
          </w:p>
        </w:tc>
        <w:tc>
          <w:tcPr>
            <w:tcW w:w="1360" w:type="dxa"/>
            <w:vAlign w:val="bottom"/>
            <w:vMerge w:val="restart"/>
            <w:shd w:val="clear" w:color="auto" w:fill="CCEEFF"/>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0.8M – 3.9M</w:t>
            </w:r>
          </w:p>
        </w:tc>
        <w:tc>
          <w:tcPr>
            <w:tcW w:w="1500" w:type="dxa"/>
            <w:vAlign w:val="bottom"/>
            <w:vMerge w:val="restart"/>
            <w:shd w:val="clear" w:color="auto" w:fill="CCEEFF"/>
          </w:tcPr>
          <w:p>
            <w:pPr>
              <w:jc w:val="center"/>
              <w:ind w:left="250"/>
              <w:spacing w:after="0" w:line="184" w:lineRule="exact"/>
              <w:rPr>
                <w:sz w:val="20"/>
                <w:szCs w:val="20"/>
                <w:color w:val="auto"/>
              </w:rPr>
            </w:pPr>
            <w:r>
              <w:rPr>
                <w:rFonts w:ascii="Times New Roman" w:cs="Times New Roman" w:eastAsia="Times New Roman" w:hAnsi="Times New Roman"/>
                <w:sz w:val="18"/>
                <w:szCs w:val="18"/>
                <w:color w:val="auto"/>
              </w:rPr>
              <w:t>0.8M – 3.9M</w:t>
            </w:r>
          </w:p>
        </w:tc>
        <w:tc>
          <w:tcPr>
            <w:tcW w:w="68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rPr>
              <w:t>N/A</w:t>
            </w:r>
          </w:p>
        </w:tc>
        <w:tc>
          <w:tcPr>
            <w:tcW w:w="2000" w:type="dxa"/>
            <w:vAlign w:val="bottom"/>
            <w:vMerge w:val="restart"/>
            <w:shd w:val="clear" w:color="auto" w:fill="CCEEFF"/>
          </w:tcPr>
          <w:p>
            <w:pPr>
              <w:jc w:val="center"/>
              <w:ind w:right="550"/>
              <w:spacing w:after="0" w:line="184" w:lineRule="exact"/>
              <w:rPr>
                <w:sz w:val="20"/>
                <w:szCs w:val="20"/>
                <w:color w:val="auto"/>
              </w:rPr>
            </w:pPr>
            <w:r>
              <w:rPr>
                <w:rFonts w:ascii="Times New Roman" w:cs="Times New Roman" w:eastAsia="Times New Roman" w:hAnsi="Times New Roman"/>
                <w:sz w:val="18"/>
                <w:szCs w:val="18"/>
                <w:color w:val="auto"/>
                <w:w w:val="99"/>
              </w:rPr>
              <w:t>Prepaid Exp</w:t>
            </w:r>
          </w:p>
        </w:tc>
        <w:tc>
          <w:tcPr>
            <w:tcW w:w="760" w:type="dxa"/>
            <w:vAlign w:val="bottom"/>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vMerge w:val="continue"/>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0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60" w:type="dxa"/>
            <w:vAlign w:val="bottom"/>
            <w:vMerge w:val="continue"/>
            <w:shd w:val="clear" w:color="auto" w:fill="CCEEFF"/>
          </w:tcPr>
          <w:p>
            <w:pPr>
              <w:spacing w:after="0"/>
              <w:rPr>
                <w:sz w:val="11"/>
                <w:szCs w:val="11"/>
                <w:color w:val="auto"/>
              </w:rPr>
            </w:pPr>
          </w:p>
        </w:tc>
        <w:tc>
          <w:tcPr>
            <w:tcW w:w="1360" w:type="dxa"/>
            <w:vAlign w:val="bottom"/>
            <w:vMerge w:val="restart"/>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1500" w:type="dxa"/>
            <w:vAlign w:val="bottom"/>
            <w:vMerge w:val="restart"/>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gal per month</w:t>
            </w:r>
          </w:p>
        </w:tc>
        <w:tc>
          <w:tcPr>
            <w:tcW w:w="6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7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2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15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0.8709</w:t>
            </w:r>
          </w:p>
        </w:tc>
        <w:tc>
          <w:tcPr>
            <w:tcW w:w="200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Prepaid Exp</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4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985</w:t>
            </w:r>
          </w:p>
        </w:tc>
        <w:tc>
          <w:tcPr>
            <w:tcW w:w="1500" w:type="dxa"/>
            <w:vAlign w:val="bottom"/>
            <w:vMerge w:val="restart"/>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720</w:t>
            </w: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0.7311</w:t>
            </w:r>
          </w:p>
        </w:tc>
        <w:tc>
          <w:tcPr>
            <w:tcW w:w="2000" w:type="dxa"/>
            <w:vAlign w:val="bottom"/>
            <w:shd w:val="clear" w:color="auto" w:fill="CCEEFF"/>
          </w:tcPr>
          <w:p>
            <w:pPr>
              <w:jc w:val="center"/>
              <w:ind w:right="5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5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149"/>
        </w:trPr>
        <w:tc>
          <w:tcPr>
            <w:tcW w:w="116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000" w:type="dxa"/>
            <w:vAlign w:val="bottom"/>
            <w:vMerge w:val="restart"/>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0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15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0.6227</w:t>
            </w:r>
          </w:p>
        </w:tc>
        <w:tc>
          <w:tcPr>
            <w:tcW w:w="2000" w:type="dxa"/>
            <w:vAlign w:val="bottom"/>
          </w:tcPr>
          <w:p>
            <w:pPr>
              <w:jc w:val="center"/>
              <w:ind w:right="5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1500" w:type="dxa"/>
            <w:vAlign w:val="bottom"/>
            <w:vMerge w:val="restart"/>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740</w:t>
            </w: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1.3415</w:t>
            </w:r>
          </w:p>
        </w:tc>
        <w:tc>
          <w:tcPr>
            <w:tcW w:w="2000" w:type="dxa"/>
            <w:vAlign w:val="bottom"/>
            <w:shd w:val="clear" w:color="auto" w:fill="CCEEFF"/>
          </w:tcPr>
          <w:p>
            <w:pPr>
              <w:jc w:val="center"/>
              <w:ind w:right="570"/>
              <w:spacing w:after="0" w:line="180" w:lineRule="exact"/>
              <w:rPr>
                <w:sz w:val="20"/>
                <w:szCs w:val="20"/>
                <w:color w:val="auto"/>
              </w:rPr>
            </w:pPr>
            <w:r>
              <w:rPr>
                <w:rFonts w:ascii="Times New Roman" w:cs="Times New Roman" w:eastAsia="Times New Roman" w:hAnsi="Times New Roman"/>
                <w:sz w:val="18"/>
                <w:szCs w:val="18"/>
                <w:color w:val="auto"/>
                <w:w w:val="99"/>
              </w:rPr>
              <w:t>Prepaid Exp /</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5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148"/>
        </w:trPr>
        <w:tc>
          <w:tcPr>
            <w:tcW w:w="116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000" w:type="dxa"/>
            <w:vAlign w:val="bottom"/>
            <w:vMerge w:val="restart"/>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0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423</w:t>
            </w:r>
          </w:p>
        </w:tc>
        <w:tc>
          <w:tcPr>
            <w:tcW w:w="15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0.2055</w:t>
            </w:r>
          </w:p>
        </w:tc>
        <w:tc>
          <w:tcPr>
            <w:tcW w:w="2000" w:type="dxa"/>
            <w:vAlign w:val="bottom"/>
          </w:tcPr>
          <w:p>
            <w:pPr>
              <w:jc w:val="center"/>
              <w:ind w:right="5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15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0.6875</w:t>
            </w:r>
          </w:p>
        </w:tc>
        <w:tc>
          <w:tcPr>
            <w:tcW w:w="2000" w:type="dxa"/>
            <w:vAlign w:val="bottom"/>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5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0.8487</w:t>
            </w:r>
          </w:p>
        </w:tc>
        <w:tc>
          <w:tcPr>
            <w:tcW w:w="2000" w:type="dxa"/>
            <w:vAlign w:val="bottom"/>
          </w:tcPr>
          <w:p>
            <w:pPr>
              <w:jc w:val="center"/>
              <w:ind w:right="570"/>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9"/>
              </w:rPr>
              <w:t>(Accrued Exp)</w:t>
            </w:r>
          </w:p>
        </w:tc>
        <w:tc>
          <w:tcPr>
            <w:tcW w:w="7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02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fair value of derivative financial instruments</w:t>
            </w: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January 31,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Net Fair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7"/>
              </w:rPr>
              <w:t>Value in</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9"/>
              </w:rPr>
              <w:t>Blended</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 Sheet</w:t>
            </w:r>
          </w:p>
        </w:tc>
        <w:tc>
          <w:tcPr>
            <w:tcW w:w="360" w:type="dxa"/>
            <w:vAlign w:val="bottom"/>
          </w:tcPr>
          <w:p>
            <w:pPr>
              <w:spacing w:after="0"/>
              <w:rPr>
                <w:sz w:val="15"/>
                <w:szCs w:val="15"/>
                <w:color w:val="auto"/>
              </w:rPr>
            </w:pPr>
          </w:p>
        </w:tc>
        <w:tc>
          <w:tcPr>
            <w:tcW w:w="1040" w:type="dxa"/>
            <w:vAlign w:val="bottom"/>
          </w:tcPr>
          <w:p>
            <w:pPr>
              <w:jc w:val="right"/>
              <w:ind w:right="270"/>
              <w:spacing w:after="0" w:line="181" w:lineRule="exact"/>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15"/>
                <w:szCs w:val="15"/>
                <w:color w:val="auto"/>
              </w:rPr>
            </w:pPr>
          </w:p>
        </w:tc>
        <w:tc>
          <w:tcPr>
            <w:tcW w:w="12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15"/>
                <w:szCs w:val="15"/>
                <w:color w:val="auto"/>
              </w:rPr>
            </w:pPr>
          </w:p>
        </w:tc>
        <w:tc>
          <w:tcPr>
            <w:tcW w:w="11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U.S.$ at</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60" w:type="dxa"/>
            <w:vAlign w:val="bottom"/>
          </w:tcPr>
          <w:p>
            <w:pPr>
              <w:spacing w:after="0"/>
              <w:rPr>
                <w:sz w:val="15"/>
                <w:szCs w:val="15"/>
                <w:color w:val="auto"/>
              </w:rPr>
            </w:pPr>
          </w:p>
        </w:tc>
        <w:tc>
          <w:tcPr>
            <w:tcW w:w="12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January 31,</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w:t>
            </w:r>
          </w:p>
        </w:tc>
        <w:tc>
          <w:tcPr>
            <w:tcW w:w="15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Receive</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Rate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U.S.$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0.8759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15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0.6648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1.1718</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Fixed on</w:t>
            </w:r>
          </w:p>
        </w:tc>
        <w:tc>
          <w:tcPr>
            <w:tcW w:w="152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rPr>
              <w:t>Float on</w:t>
            </w:r>
          </w:p>
        </w:tc>
        <w:tc>
          <w:tcPr>
            <w:tcW w:w="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vMerge w:val="continue"/>
            <w:shd w:val="clear" w:color="auto" w:fill="CCEEFF"/>
          </w:tcPr>
          <w:p>
            <w:pPr>
              <w:spacing w:after="0"/>
              <w:rPr>
                <w:sz w:val="7"/>
                <w:szCs w:val="7"/>
                <w:color w:val="auto"/>
              </w:rPr>
            </w:pPr>
          </w:p>
        </w:tc>
        <w:tc>
          <w:tcPr>
            <w:tcW w:w="1360" w:type="dxa"/>
            <w:vAlign w:val="bottom"/>
            <w:vMerge w:val="restart"/>
            <w:shd w:val="clear" w:color="auto" w:fill="CCEEFF"/>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3.2M – 3.9M</w:t>
            </w:r>
          </w:p>
        </w:tc>
        <w:tc>
          <w:tcPr>
            <w:tcW w:w="1520" w:type="dxa"/>
            <w:vAlign w:val="bottom"/>
            <w:vMerge w:val="restart"/>
            <w:shd w:val="clear" w:color="auto" w:fill="CCEEFF"/>
          </w:tcPr>
          <w:p>
            <w:pPr>
              <w:jc w:val="center"/>
              <w:ind w:left="290"/>
              <w:spacing w:after="0" w:line="184" w:lineRule="exact"/>
              <w:rPr>
                <w:sz w:val="20"/>
                <w:szCs w:val="20"/>
                <w:color w:val="auto"/>
              </w:rPr>
            </w:pPr>
            <w:r>
              <w:rPr>
                <w:rFonts w:ascii="Times New Roman" w:cs="Times New Roman" w:eastAsia="Times New Roman" w:hAnsi="Times New Roman"/>
                <w:sz w:val="18"/>
                <w:szCs w:val="18"/>
                <w:color w:val="auto"/>
                <w:w w:val="99"/>
              </w:rPr>
              <w:t>3.2M– 3.9M</w:t>
            </w:r>
          </w:p>
        </w:tc>
        <w:tc>
          <w:tcPr>
            <w:tcW w:w="600" w:type="dxa"/>
            <w:vAlign w:val="bottom"/>
            <w:shd w:val="clear" w:color="auto" w:fill="CCEEFF"/>
          </w:tcPr>
          <w:p>
            <w:pPr>
              <w:spacing w:after="0"/>
              <w:rPr>
                <w:sz w:val="7"/>
                <w:szCs w:val="7"/>
                <w:color w:val="auto"/>
              </w:rPr>
            </w:pPr>
          </w:p>
        </w:tc>
        <w:tc>
          <w:tcPr>
            <w:tcW w:w="1140" w:type="dxa"/>
            <w:vAlign w:val="bottom"/>
            <w:vMerge w:val="restart"/>
            <w:shd w:val="clear" w:color="auto" w:fill="CCEEFF"/>
          </w:tcPr>
          <w:p>
            <w:pPr>
              <w:jc w:val="right"/>
              <w:ind w:right="90"/>
              <w:spacing w:after="0" w:line="184" w:lineRule="exact"/>
              <w:rPr>
                <w:sz w:val="20"/>
                <w:szCs w:val="20"/>
                <w:color w:val="auto"/>
              </w:rPr>
            </w:pPr>
            <w:r>
              <w:rPr>
                <w:rFonts w:ascii="Times New Roman" w:cs="Times New Roman" w:eastAsia="Times New Roman" w:hAnsi="Times New Roman"/>
                <w:sz w:val="18"/>
                <w:szCs w:val="18"/>
                <w:color w:val="auto"/>
              </w:rPr>
              <w:t>N/A</w:t>
            </w:r>
          </w:p>
        </w:tc>
        <w:tc>
          <w:tcPr>
            <w:tcW w:w="128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w:t>
            </w:r>
          </w:p>
        </w:tc>
        <w:tc>
          <w:tcPr>
            <w:tcW w:w="360" w:type="dxa"/>
            <w:vAlign w:val="bottom"/>
            <w:shd w:val="clear" w:color="auto" w:fill="CCEEFF"/>
          </w:tcPr>
          <w:p>
            <w:pPr>
              <w:spacing w:after="0"/>
              <w:rPr>
                <w:sz w:val="7"/>
                <w:szCs w:val="7"/>
                <w:color w:val="auto"/>
              </w:rPr>
            </w:pPr>
          </w:p>
        </w:tc>
        <w:tc>
          <w:tcPr>
            <w:tcW w:w="104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7"/>
                <w:szCs w:val="7"/>
                <w:color w:val="auto"/>
              </w:rPr>
            </w:pPr>
          </w:p>
        </w:tc>
        <w:tc>
          <w:tcPr>
            <w:tcW w:w="114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03"/>
        </w:trPr>
        <w:tc>
          <w:tcPr>
            <w:tcW w:w="11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60" w:type="dxa"/>
            <w:vAlign w:val="bottom"/>
            <w:vMerge w:val="continue"/>
            <w:shd w:val="clear" w:color="auto" w:fill="CCEEFF"/>
          </w:tcPr>
          <w:p>
            <w:pPr>
              <w:spacing w:after="0"/>
              <w:rPr>
                <w:sz w:val="11"/>
                <w:szCs w:val="11"/>
                <w:color w:val="auto"/>
              </w:rPr>
            </w:pPr>
          </w:p>
        </w:tc>
        <w:tc>
          <w:tcPr>
            <w:tcW w:w="1360" w:type="dxa"/>
            <w:vAlign w:val="bottom"/>
            <w:vMerge w:val="restart"/>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1520" w:type="dxa"/>
            <w:vAlign w:val="bottom"/>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gal per month</w:t>
            </w:r>
          </w:p>
        </w:tc>
        <w:tc>
          <w:tcPr>
            <w:tcW w:w="6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7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0.8680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Intercompany balances in TJX International:</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1.3472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856</w:t>
            </w:r>
          </w:p>
        </w:tc>
        <w:tc>
          <w:tcPr>
            <w:tcW w:w="1520" w:type="dxa"/>
            <w:vAlign w:val="bottom"/>
            <w:vMerge w:val="restart"/>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620</w:t>
            </w:r>
          </w:p>
        </w:tc>
        <w:tc>
          <w:tcPr>
            <w:tcW w:w="11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0.7241</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49"/>
        </w:trPr>
        <w:tc>
          <w:tcPr>
            <w:tcW w:w="116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5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0.6176</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766</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1.3386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15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0.2062</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0.6621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5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0.8495</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 /</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(Accrued Exp)</w:t>
            </w: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 of derivative financial instruments</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r>
        <w:trPr>
          <w:trHeight w:val="858"/>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May 3,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Net Fair</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7"/>
              </w:rPr>
              <w:t>Value in</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6"/>
              </w:rPr>
              <w:t>Blended</w:t>
            </w:r>
          </w:p>
        </w:tc>
        <w:tc>
          <w:tcPr>
            <w:tcW w:w="17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Balance Sheet</w:t>
            </w:r>
          </w:p>
        </w:tc>
        <w:tc>
          <w:tcPr>
            <w:tcW w:w="1300" w:type="dxa"/>
            <w:vAlign w:val="bottom"/>
          </w:tcPr>
          <w:p>
            <w:pPr>
              <w:jc w:val="right"/>
              <w:ind w:right="530"/>
              <w:spacing w:after="0" w:line="181" w:lineRule="exact"/>
              <w:rPr>
                <w:sz w:val="20"/>
                <w:szCs w:val="20"/>
                <w:color w:val="auto"/>
              </w:rPr>
            </w:pPr>
            <w:r>
              <w:rPr>
                <w:rFonts w:ascii="Times New Roman" w:cs="Times New Roman" w:eastAsia="Times New Roman" w:hAnsi="Times New Roman"/>
                <w:sz w:val="18"/>
                <w:szCs w:val="18"/>
                <w:color w:val="auto"/>
              </w:rPr>
              <w:t>Current</w:t>
            </w:r>
          </w:p>
        </w:tc>
        <w:tc>
          <w:tcPr>
            <w:tcW w:w="12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5"/>
                <w:szCs w:val="15"/>
                <w:color w:val="auto"/>
              </w:rPr>
            </w:pPr>
          </w:p>
        </w:tc>
        <w:tc>
          <w:tcPr>
            <w:tcW w:w="11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w w:val="99"/>
              </w:rPr>
              <w:t>U.S.$ at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740" w:type="dxa"/>
            <w:vAlign w:val="bottom"/>
            <w:vMerge w:val="continue"/>
          </w:tcPr>
          <w:p>
            <w:pPr>
              <w:spacing w:after="0"/>
              <w:rPr>
                <w:sz w:val="15"/>
                <w:szCs w:val="15"/>
                <w:color w:val="auto"/>
              </w:rPr>
            </w:pPr>
          </w:p>
        </w:tc>
        <w:tc>
          <w:tcPr>
            <w:tcW w:w="1300" w:type="dxa"/>
            <w:vAlign w:val="bottom"/>
          </w:tcPr>
          <w:p>
            <w:pPr>
              <w:jc w:val="right"/>
              <w:ind w:right="61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12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22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May 3,</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Receive</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Rate</w:t>
            </w:r>
          </w:p>
        </w:tc>
        <w:tc>
          <w:tcPr>
            <w:tcW w:w="17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Location</w:t>
            </w: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0.8522</w:t>
            </w:r>
          </w:p>
        </w:tc>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   $</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5"/>
        </w:trPr>
        <w:tc>
          <w:tcPr>
            <w:tcW w:w="148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spacing w:after="0"/>
              <w:rPr>
                <w:sz w:val="15"/>
                <w:szCs w:val="15"/>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4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0.6420</w:t>
            </w:r>
          </w:p>
        </w:tc>
        <w:tc>
          <w:tcPr>
            <w:tcW w:w="17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7"/>
              </w:rPr>
              <w:t>Prepaid Exp /</w:t>
            </w:r>
          </w:p>
        </w:tc>
        <w:tc>
          <w:tcPr>
            <w:tcW w:w="13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5"/>
                <w:szCs w:val="15"/>
                <w:color w:val="auto"/>
              </w:rPr>
            </w:pPr>
          </w:p>
        </w:tc>
        <w:tc>
          <w:tcPr>
            <w:tcW w:w="110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7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(Accrued Exp)</w:t>
            </w:r>
          </w:p>
        </w:tc>
        <w:tc>
          <w:tcPr>
            <w:tcW w:w="13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4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0.8177</w:t>
            </w:r>
          </w:p>
        </w:tc>
        <w:tc>
          <w:tcPr>
            <w:tcW w:w="17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Prepaid Exp</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5.8</w:t>
            </w:r>
          </w:p>
        </w:tc>
        <w:tc>
          <w:tcPr>
            <w:tcW w:w="0" w:type="dxa"/>
            <w:vAlign w:val="bottom"/>
          </w:tcPr>
          <w:p>
            <w:pPr>
              <w:spacing w:after="0"/>
              <w:rPr>
                <w:sz w:val="1"/>
                <w:szCs w:val="1"/>
                <w:color w:val="auto"/>
              </w:rPr>
            </w:pPr>
          </w:p>
        </w:tc>
      </w:tr>
      <w:tr>
        <w:trPr>
          <w:trHeight w:val="230"/>
        </w:trPr>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1.2222</w:t>
            </w: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(Accrued Exp)</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75"/>
        </w:trPr>
        <w:tc>
          <w:tcPr>
            <w:tcW w:w="1480" w:type="dxa"/>
            <w:vAlign w:val="bottom"/>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1420" w:type="dxa"/>
            <w:vAlign w:val="bottom"/>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220</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1.1005</w:t>
            </w:r>
          </w:p>
        </w:tc>
        <w:tc>
          <w:tcPr>
            <w:tcW w:w="1740" w:type="dxa"/>
            <w:vAlign w:val="bottom"/>
            <w:shd w:val="clear" w:color="auto" w:fill="CCEEFF"/>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7"/>
              </w:rPr>
              <w:t>Prepaid Exp /</w:t>
            </w:r>
          </w:p>
        </w:tc>
        <w:tc>
          <w:tcPr>
            <w:tcW w:w="13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49"/>
        </w:trPr>
        <w:tc>
          <w:tcPr>
            <w:tcW w:w="148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740" w:type="dxa"/>
            <w:vAlign w:val="bottom"/>
            <w:vMerge w:val="restart"/>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(Accrued Exp)</w:t>
            </w:r>
          </w:p>
        </w:tc>
        <w:tc>
          <w:tcPr>
            <w:tcW w:w="130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Fixed on</w:t>
            </w:r>
          </w:p>
        </w:tc>
        <w:tc>
          <w:tcPr>
            <w:tcW w:w="1520" w:type="dxa"/>
            <w:vAlign w:val="bottom"/>
            <w:shd w:val="clear" w:color="auto" w:fill="CCEEFF"/>
          </w:tcPr>
          <w:p>
            <w:pPr>
              <w:ind w:left="640"/>
              <w:spacing w:after="0" w:line="198" w:lineRule="exact"/>
              <w:rPr>
                <w:sz w:val="20"/>
                <w:szCs w:val="20"/>
                <w:color w:val="auto"/>
              </w:rPr>
            </w:pPr>
            <w:r>
              <w:rPr>
                <w:rFonts w:ascii="Times New Roman" w:cs="Times New Roman" w:eastAsia="Times New Roman" w:hAnsi="Times New Roman"/>
                <w:sz w:val="18"/>
                <w:szCs w:val="18"/>
                <w:color w:val="auto"/>
              </w:rPr>
              <w:t>Float on</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160" w:type="dxa"/>
            <w:vAlign w:val="bottom"/>
            <w:vMerge w:val="continue"/>
            <w:shd w:val="clear" w:color="auto" w:fill="CCEEFF"/>
          </w:tcPr>
          <w:p>
            <w:pPr>
              <w:spacing w:after="0"/>
              <w:rPr>
                <w:sz w:val="7"/>
                <w:szCs w:val="7"/>
                <w:color w:val="auto"/>
              </w:rPr>
            </w:pPr>
          </w:p>
        </w:tc>
        <w:tc>
          <w:tcPr>
            <w:tcW w:w="1360" w:type="dxa"/>
            <w:vAlign w:val="bottom"/>
            <w:vMerge w:val="restart"/>
            <w:shd w:val="clear" w:color="auto" w:fill="CCEEFF"/>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3.1M – 4.1M</w:t>
            </w:r>
          </w:p>
        </w:tc>
        <w:tc>
          <w:tcPr>
            <w:tcW w:w="1520" w:type="dxa"/>
            <w:vAlign w:val="bottom"/>
            <w:vMerge w:val="restart"/>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3.1M – 4.1M</w:t>
            </w:r>
          </w:p>
        </w:tc>
        <w:tc>
          <w:tcPr>
            <w:tcW w:w="680" w:type="dxa"/>
            <w:vAlign w:val="bottom"/>
            <w:shd w:val="clear" w:color="auto" w:fill="CCEEFF"/>
          </w:tcPr>
          <w:p>
            <w:pPr>
              <w:spacing w:after="0"/>
              <w:rPr>
                <w:sz w:val="7"/>
                <w:szCs w:val="7"/>
                <w:color w:val="auto"/>
              </w:rPr>
            </w:pPr>
          </w:p>
        </w:tc>
        <w:tc>
          <w:tcPr>
            <w:tcW w:w="1060" w:type="dxa"/>
            <w:vAlign w:val="bottom"/>
            <w:vMerge w:val="restart"/>
            <w:shd w:val="clear" w:color="auto" w:fill="CCEEFF"/>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N/A</w:t>
            </w:r>
          </w:p>
        </w:tc>
        <w:tc>
          <w:tcPr>
            <w:tcW w:w="1900" w:type="dxa"/>
            <w:vAlign w:val="bottom"/>
            <w:vMerge w:val="restart"/>
            <w:shd w:val="clear" w:color="auto" w:fill="CCEEFF"/>
          </w:tcPr>
          <w:p>
            <w:pPr>
              <w:jc w:val="center"/>
              <w:ind w:right="610"/>
              <w:spacing w:after="0" w:line="184" w:lineRule="exact"/>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(16.1)</w:t>
            </w:r>
          </w:p>
        </w:tc>
        <w:tc>
          <w:tcPr>
            <w:tcW w:w="4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03"/>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60" w:type="dxa"/>
            <w:vAlign w:val="bottom"/>
            <w:vMerge w:val="continue"/>
            <w:shd w:val="clear" w:color="auto" w:fill="CCEEFF"/>
          </w:tcPr>
          <w:p>
            <w:pPr>
              <w:spacing w:after="0"/>
              <w:rPr>
                <w:sz w:val="11"/>
                <w:szCs w:val="11"/>
                <w:color w:val="auto"/>
              </w:rPr>
            </w:pPr>
          </w:p>
        </w:tc>
        <w:tc>
          <w:tcPr>
            <w:tcW w:w="1360" w:type="dxa"/>
            <w:vAlign w:val="bottom"/>
            <w:vMerge w:val="restart"/>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15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gal per month</w:t>
            </w:r>
          </w:p>
        </w:tc>
        <w:tc>
          <w:tcPr>
            <w:tcW w:w="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7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1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167</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0.8549</w:t>
            </w:r>
          </w:p>
        </w:tc>
        <w:tc>
          <w:tcPr>
            <w:tcW w:w="19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9"/>
              </w:rPr>
              <w:t>Prepaid Exp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926</w:t>
            </w: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655</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0.7070</w:t>
            </w:r>
          </w:p>
        </w:tc>
        <w:tc>
          <w:tcPr>
            <w:tcW w:w="19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0.6546</w:t>
            </w:r>
          </w:p>
        </w:tc>
        <w:tc>
          <w:tcPr>
            <w:tcW w:w="1900" w:type="dxa"/>
            <w:vAlign w:val="bottom"/>
          </w:tcPr>
          <w:p>
            <w:pPr>
              <w:jc w:val="center"/>
              <w:ind w:right="610"/>
              <w:spacing w:after="0" w:line="176" w:lineRule="exact"/>
              <w:rPr>
                <w:sz w:val="20"/>
                <w:szCs w:val="20"/>
                <w:color w:val="auto"/>
              </w:rPr>
            </w:pPr>
            <w:r>
              <w:rPr>
                <w:rFonts w:ascii="Times New Roman" w:cs="Times New Roman" w:eastAsia="Times New Roman" w:hAnsi="Times New Roman"/>
                <w:sz w:val="18"/>
                <w:szCs w:val="18"/>
                <w:color w:val="auto"/>
                <w:w w:val="97"/>
              </w:rPr>
              <w:t>Prepaid Exp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90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624</w:t>
            </w: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1.2778</w:t>
            </w:r>
          </w:p>
        </w:tc>
        <w:tc>
          <w:tcPr>
            <w:tcW w:w="1900" w:type="dxa"/>
            <w:vAlign w:val="bottom"/>
            <w:shd w:val="clear" w:color="auto" w:fill="CCEEFF"/>
          </w:tcPr>
          <w:p>
            <w:pPr>
              <w:jc w:val="center"/>
              <w:ind w:right="610"/>
              <w:spacing w:after="0" w:line="180" w:lineRule="exact"/>
              <w:rPr>
                <w:sz w:val="20"/>
                <w:szCs w:val="20"/>
                <w:color w:val="auto"/>
              </w:rPr>
            </w:pPr>
            <w:r>
              <w:rPr>
                <w:rFonts w:ascii="Times New Roman" w:cs="Times New Roman" w:eastAsia="Times New Roman" w:hAnsi="Times New Roman"/>
                <w:sz w:val="18"/>
                <w:szCs w:val="18"/>
                <w:color w:val="auto"/>
                <w:w w:val="97"/>
              </w:rPr>
              <w:t>Prepaid Exp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49"/>
        </w:trPr>
        <w:tc>
          <w:tcPr>
            <w:tcW w:w="116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900" w:type="dxa"/>
            <w:vAlign w:val="bottom"/>
            <w:vMerge w:val="restart"/>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489</w:t>
            </w: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0.1950</w:t>
            </w:r>
          </w:p>
        </w:tc>
        <w:tc>
          <w:tcPr>
            <w:tcW w:w="1900" w:type="dxa"/>
            <w:vAlign w:val="bottom"/>
          </w:tcPr>
          <w:p>
            <w:pPr>
              <w:jc w:val="center"/>
              <w:ind w:right="610"/>
              <w:spacing w:after="0" w:line="176" w:lineRule="exact"/>
              <w:rPr>
                <w:sz w:val="20"/>
                <w:szCs w:val="20"/>
                <w:color w:val="auto"/>
              </w:rPr>
            </w:pPr>
            <w:r>
              <w:rPr>
                <w:rFonts w:ascii="Times New Roman" w:cs="Times New Roman" w:eastAsia="Times New Roman" w:hAnsi="Times New Roman"/>
                <w:sz w:val="18"/>
                <w:szCs w:val="18"/>
                <w:color w:val="auto"/>
                <w:w w:val="97"/>
              </w:rPr>
              <w:t>Prepaid Exp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90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w:t>
            </w:r>
          </w:p>
        </w:tc>
        <w:tc>
          <w:tcPr>
            <w:tcW w:w="1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0.6346</w:t>
            </w:r>
          </w:p>
        </w:tc>
        <w:tc>
          <w:tcPr>
            <w:tcW w:w="1900" w:type="dxa"/>
            <w:vAlign w:val="bottom"/>
            <w:shd w:val="clear" w:color="auto" w:fill="CCEEFF"/>
          </w:tcPr>
          <w:p>
            <w:pPr>
              <w:jc w:val="center"/>
              <w:ind w:right="610"/>
              <w:spacing w:after="0" w:line="180" w:lineRule="exact"/>
              <w:rPr>
                <w:sz w:val="20"/>
                <w:szCs w:val="20"/>
                <w:color w:val="auto"/>
              </w:rPr>
            </w:pPr>
            <w:r>
              <w:rPr>
                <w:rFonts w:ascii="Times New Roman" w:cs="Times New Roman" w:eastAsia="Times New Roman" w:hAnsi="Times New Roman"/>
                <w:sz w:val="18"/>
                <w:szCs w:val="18"/>
                <w:color w:val="auto"/>
                <w:w w:val="97"/>
              </w:rPr>
              <w:t>Prepaid Exp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49"/>
        </w:trPr>
        <w:tc>
          <w:tcPr>
            <w:tcW w:w="116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900" w:type="dxa"/>
            <w:vAlign w:val="bottom"/>
            <w:vMerge w:val="restart"/>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0.9204</w:t>
            </w:r>
          </w:p>
        </w:tc>
        <w:tc>
          <w:tcPr>
            <w:tcW w:w="1900" w:type="dxa"/>
            <w:vAlign w:val="bottom"/>
          </w:tcPr>
          <w:p>
            <w:pPr>
              <w:jc w:val="center"/>
              <w:ind w:right="610"/>
              <w:spacing w:after="0" w:line="176" w:lineRule="exact"/>
              <w:rPr>
                <w:sz w:val="20"/>
                <w:szCs w:val="20"/>
                <w:color w:val="auto"/>
              </w:rPr>
            </w:pPr>
            <w:r>
              <w:rPr>
                <w:rFonts w:ascii="Times New Roman" w:cs="Times New Roman" w:eastAsia="Times New Roman" w:hAnsi="Times New Roman"/>
                <w:sz w:val="18"/>
                <w:szCs w:val="18"/>
                <w:color w:val="auto"/>
                <w:w w:val="97"/>
              </w:rPr>
              <w:t>Prepaid Exp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90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 of derivative financial instruments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0" w:type="dxa"/>
            <w:vAlign w:val="bottom"/>
          </w:tcPr>
          <w:p>
            <w:pPr>
              <w:spacing w:after="0"/>
              <w:rPr>
                <w:sz w:val="1"/>
                <w:szCs w:val="1"/>
                <w:color w:val="auto"/>
              </w:rPr>
            </w:pPr>
          </w:p>
        </w:tc>
      </w:tr>
      <w:tr>
        <w:trPr>
          <w:trHeight w:val="858"/>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impact of derivative financial instruments on the Consolidated Statements of Income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in Income by Derivative</w:t>
            </w:r>
          </w:p>
        </w:tc>
        <w:tc>
          <w:tcPr>
            <w:tcW w:w="0" w:type="dxa"/>
            <w:vAlign w:val="bottom"/>
          </w:tcPr>
          <w:p>
            <w:pPr>
              <w:spacing w:after="0"/>
              <w:rPr>
                <w:sz w:val="1"/>
                <w:szCs w:val="1"/>
                <w:color w:val="auto"/>
              </w:rPr>
            </w:pPr>
          </w:p>
        </w:tc>
      </w:tr>
      <w:tr>
        <w:trPr>
          <w:trHeight w:val="470"/>
        </w:trPr>
        <w:tc>
          <w:tcPr>
            <w:tcW w:w="4820" w:type="dxa"/>
            <w:vAlign w:val="bottom"/>
          </w:tcPr>
          <w:p>
            <w:pPr>
              <w:spacing w:after="0"/>
              <w:rPr>
                <w:sz w:val="24"/>
                <w:szCs w:val="24"/>
                <w:color w:val="auto"/>
              </w:rPr>
            </w:pPr>
          </w:p>
        </w:tc>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Location of Gain (Loss) Recognized in Income</w:t>
            </w: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3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by</w:t>
            </w:r>
          </w:p>
        </w:tc>
        <w:tc>
          <w:tcPr>
            <w:tcW w:w="110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15"/>
                <w:szCs w:val="15"/>
                <w:color w:val="auto"/>
              </w:rPr>
            </w:pPr>
          </w:p>
        </w:tc>
        <w:tc>
          <w:tcPr>
            <w:tcW w:w="110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May 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Derivative</w:t>
            </w: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3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c>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Intercompany balances in TJX International</w:t>
            </w:r>
          </w:p>
        </w:tc>
        <w:tc>
          <w:tcPr>
            <w:tcW w:w="3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Selling, 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Diesel fuel contracts</w:t>
            </w:r>
          </w:p>
        </w:tc>
        <w:tc>
          <w:tcPr>
            <w:tcW w:w="396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Cost of sales, including buying and occupancy</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rPr>
                <w:sz w:val="12"/>
                <w:szCs w:val="12"/>
                <w:color w:val="auto"/>
              </w:rPr>
            </w:pPr>
          </w:p>
        </w:tc>
        <w:tc>
          <w:tcPr>
            <w:tcW w:w="39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11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20" w:type="dxa"/>
            <w:vAlign w:val="bottom"/>
            <w:shd w:val="clear" w:color="auto" w:fill="CCEEFF"/>
          </w:tcPr>
          <w:p>
            <w:pPr>
              <w:spacing w:after="0"/>
              <w:rPr>
                <w:sz w:val="8"/>
                <w:szCs w:val="8"/>
                <w:color w:val="auto"/>
              </w:rPr>
            </w:pPr>
          </w:p>
        </w:tc>
        <w:tc>
          <w:tcPr>
            <w:tcW w:w="3960" w:type="dxa"/>
            <w:vAlign w:val="bottom"/>
            <w:gridSpan w:val="2"/>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Intercompany billings in TJX International, primarily</w:t>
            </w:r>
          </w:p>
        </w:tc>
        <w:tc>
          <w:tcPr>
            <w:tcW w:w="39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Cost of sales, including buying and occupancy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merchandise</w:t>
            </w:r>
          </w:p>
        </w:tc>
        <w:tc>
          <w:tcPr>
            <w:tcW w:w="3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820" w:type="dxa"/>
            <w:vAlign w:val="bottom"/>
            <w:vMerge w:val="continue"/>
          </w:tcPr>
          <w:p>
            <w:pPr>
              <w:spacing w:after="0"/>
              <w:rPr>
                <w:sz w:val="7"/>
                <w:szCs w:val="7"/>
                <w:color w:val="auto"/>
              </w:rPr>
            </w:pPr>
          </w:p>
        </w:tc>
        <w:tc>
          <w:tcPr>
            <w:tcW w:w="39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Merchandise purchase commitments</w:t>
            </w:r>
          </w:p>
        </w:tc>
        <w:tc>
          <w:tcPr>
            <w:tcW w:w="396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Cost of sales, including buying and occupancy</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rPr>
                <w:sz w:val="12"/>
                <w:szCs w:val="12"/>
                <w:color w:val="auto"/>
              </w:rPr>
            </w:pPr>
          </w:p>
        </w:tc>
        <w:tc>
          <w:tcPr>
            <w:tcW w:w="39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11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820" w:type="dxa"/>
            <w:vAlign w:val="bottom"/>
            <w:tcBorders>
              <w:bottom w:val="single" w:sz="8" w:color="auto"/>
            </w:tcBorders>
            <w:shd w:val="clear" w:color="auto" w:fill="CCEEFF"/>
          </w:tcPr>
          <w:p>
            <w:pPr>
              <w:spacing w:after="0"/>
              <w:rPr>
                <w:sz w:val="7"/>
                <w:szCs w:val="7"/>
                <w:color w:val="auto"/>
              </w:rPr>
            </w:pPr>
          </w:p>
        </w:tc>
        <w:tc>
          <w:tcPr>
            <w:tcW w:w="3960" w:type="dxa"/>
            <w:vAlign w:val="bottom"/>
            <w:tcBorders>
              <w:bottom w:val="single" w:sz="8" w:color="auto"/>
            </w:tcBorders>
            <w:gridSpan w:val="2"/>
            <w:vMerge w:val="continue"/>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(loss) recognized in income</w:t>
            </w:r>
          </w:p>
        </w:tc>
        <w:tc>
          <w:tcPr>
            <w:tcW w:w="39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F. Fair Value Measurements</w:t>
      </w:r>
    </w:p>
    <w:p>
      <w:pPr>
        <w:spacing w:after="0" w:line="11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(also referred to as exit price). The inputs used to measure fair value are generally classified into the following hierarchy:</w:t>
      </w:r>
    </w:p>
    <w:p>
      <w:pPr>
        <w:spacing w:after="0" w:line="2"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w:t>
      </w:r>
    </w:p>
    <w:p>
      <w:pPr>
        <w:spacing w:after="0" w:line="77" w:lineRule="exact"/>
        <w:rPr>
          <w:sz w:val="20"/>
          <w:szCs w:val="20"/>
          <w:color w:val="auto"/>
        </w:rPr>
      </w:pPr>
    </w:p>
    <w:p>
      <w:pPr>
        <w:ind w:left="1040" w:right="540" w:hanging="1011"/>
        <w:spacing w:after="0" w:line="237" w:lineRule="auto"/>
        <w:tabs>
          <w:tab w:leader="none" w:pos="10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64"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TJX’s financial assets and liabilities that are accounted for at fair value on a recurring basis: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January 31,</w:t>
            </w:r>
          </w:p>
        </w:tc>
        <w:tc>
          <w:tcPr>
            <w:tcW w:w="320" w:type="dxa"/>
            <w:vAlign w:val="bottom"/>
          </w:tcPr>
          <w:p>
            <w:pPr>
              <w:spacing w:after="0"/>
              <w:rPr>
                <w:sz w:val="18"/>
                <w:szCs w:val="18"/>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Executive Savings Plan investments</w:t>
            </w:r>
          </w:p>
        </w:tc>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581.8</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6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Diesel fuel contracts</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50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Diesel fuel contracts</w:t>
            </w:r>
          </w:p>
        </w:tc>
        <w:tc>
          <w:tcPr>
            <w:tcW w:w="2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designed to meet obligations under the Executive Savings Plan are invested in registered investment companies traded in active markets and are recorded at unadjusted quoted prices.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and fair value estimates of the Company’s components of long-term debt: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480" w:type="dxa"/>
            <w:vAlign w:val="bottom"/>
          </w:tcPr>
          <w:p>
            <w:pPr>
              <w:spacing w:after="0"/>
              <w:rPr>
                <w:sz w:val="17"/>
                <w:szCs w:val="17"/>
                <w:color w:val="auto"/>
              </w:rPr>
            </w:pPr>
          </w:p>
        </w:tc>
        <w:tc>
          <w:tcPr>
            <w:tcW w:w="20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January 31,</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w:t>
            </w:r>
          </w:p>
        </w:tc>
        <w:tc>
          <w:tcPr>
            <w:tcW w:w="102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spacing w:after="0"/>
              <w:rPr>
                <w:sz w:val="20"/>
                <w:szCs w:val="20"/>
                <w:color w:val="auto"/>
              </w:rPr>
            </w:pPr>
          </w:p>
        </w:tc>
      </w:tr>
      <w:tr>
        <w:trPr>
          <w:trHeight w:val="225"/>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Carrying Value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Fair Value</w:t>
            </w:r>
          </w:p>
        </w:tc>
        <w:tc>
          <w:tcPr>
            <w:tcW w:w="15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Carrying Value</w:t>
            </w: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2,867 $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bl>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TJX’s general corporate debt was estimated by obtaining market quotes given the trading levels of other bonds of the same general issuer type and market perceived credit quality. These inputs are considered to be Level 2 inputs. These estimates do not necessarily reflect provisions or restrictions in the various debt agreements that might affect TJX’s ability to settle these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long-term debt, see Note I—Long-Term Debt and Credit Lines.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cash equivalents are stated at cost, which approximates fair value due to the short maturities of these instruments.</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majority of the Company’s assets and liabilities are not measured at fair value on an ongoing basis. Certain assets and liabilities are measured at fair value on a nonrecurring basis and are subject to fair value adjustments in certain circumstances, such as when there is evidence of an impairment. For the periods ended May 2, 2026, January 31, 2026 and May 3, 2025, the Company did not record any material impairments to long-lived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G. Segment Information</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operates four segments. TJX defines its segments as those operations whose results are regularly reviewed by the Chief Executive Officer, who is the Company’s chief operating decision maker (“CODM”), to analyze performance and allocate resources. In the United States, the Marmaxx segment operates TJ Maxx, Marshalls, tjmaxx.com and marshalls.com and the HomeGoods segment operates HomeGoods and Homesense. The TJX Canada segment operates Winners, HomeSense and Marshalls in Canada, and the TJX International segment operates TK Maxx, Homesense, tkmaxx.com, tkmaxx.de, and tkmaxx.at in Europe and TK Maxx in Australia. In addition to the Company’s four segments, Sierra operates retail stores and sierra.com in the U.S. The results of Sierra are included in the Marmaxx segment.</w:t>
      </w:r>
    </w:p>
    <w:p>
      <w:pPr>
        <w:spacing w:after="0" w:line="79" w:lineRule="exact"/>
        <w:rPr>
          <w:sz w:val="20"/>
          <w:szCs w:val="20"/>
          <w:color w:val="auto"/>
        </w:rPr>
      </w:pPr>
    </w:p>
    <w:p>
      <w:pPr>
        <w:ind w:right="1600"/>
        <w:spacing w:after="0" w:line="282" w:lineRule="auto"/>
        <w:rPr>
          <w:sz w:val="20"/>
          <w:szCs w:val="20"/>
          <w:color w:val="auto"/>
        </w:rPr>
      </w:pPr>
      <w:r>
        <w:rPr>
          <w:rFonts w:ascii="Times New Roman" w:cs="Times New Roman" w:eastAsia="Times New Roman" w:hAnsi="Times New Roman"/>
          <w:sz w:val="18"/>
          <w:szCs w:val="18"/>
          <w:color w:val="auto"/>
        </w:rPr>
        <w:t>All of TJX’s stores, with the exception of HomeGoods and HomeSense/Homesense, sell apparel and home fashions. HomeGoods and HomeSense/Homesense offer home fashions.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CODM regularly reviews net sales by segment and segment profit or loss. There are no significant expense categories or amounts regularly provided to the CODM and included in reported segment profit or loss. As such, no significant expense categories are disclosed in the table below. The CODM evaluates the performance of the Company’s segments based on “segment profit or loss,” which it defines as pre-tax income or loss before general corporate expense, interest (income) expense, net and certain separately disclosed unusual or infrequent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Presented below is financial information with respect to TJX’s segments: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2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Marmaxx</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r>
      <w:tr>
        <w:trPr>
          <w:trHeight w:val="229"/>
        </w:trPr>
        <w:tc>
          <w:tcPr>
            <w:tcW w:w="822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r>
      <w:tr>
        <w:trPr>
          <w:trHeight w:val="223"/>
        </w:trPr>
        <w:tc>
          <w:tcPr>
            <w:tcW w:w="8220" w:type="dxa"/>
            <w:vAlign w:val="bottom"/>
            <w:tcBorders>
              <w:bottom w:val="single" w:sz="8" w:color="auto"/>
            </w:tcBorders>
            <w:shd w:val="clear" w:color="auto" w:fill="CCEEFF"/>
          </w:tcPr>
          <w:p>
            <w:pPr>
              <w:jc w:val="right"/>
              <w:ind w:right="6711"/>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HomeGoods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30"/>
        </w:trPr>
        <w:tc>
          <w:tcPr>
            <w:tcW w:w="822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220" w:type="dxa"/>
            <w:vAlign w:val="bottom"/>
            <w:tcBorders>
              <w:bottom w:val="single" w:sz="8" w:color="auto"/>
            </w:tcBorders>
            <w:shd w:val="clear" w:color="auto" w:fill="CCEEFF"/>
          </w:tcPr>
          <w:p>
            <w:pPr>
              <w:jc w:val="right"/>
              <w:ind w:right="6711"/>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TJX Canada</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822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3"/>
        </w:trPr>
        <w:tc>
          <w:tcPr>
            <w:tcW w:w="8220" w:type="dxa"/>
            <w:vAlign w:val="bottom"/>
            <w:tcBorders>
              <w:bottom w:val="single" w:sz="8" w:color="auto"/>
            </w:tcBorders>
            <w:shd w:val="clear" w:color="auto" w:fill="CCEEFF"/>
          </w:tcPr>
          <w:p>
            <w:pPr>
              <w:jc w:val="right"/>
              <w:ind w:right="6711"/>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20" w:type="dxa"/>
            <w:vAlign w:val="bottom"/>
          </w:tcPr>
          <w:p>
            <w:pPr>
              <w:jc w:val="right"/>
              <w:ind w:right="6691"/>
              <w:spacing w:after="0"/>
              <w:rPr>
                <w:sz w:val="20"/>
                <w:szCs w:val="20"/>
                <w:color w:val="auto"/>
              </w:rPr>
            </w:pPr>
            <w:r>
              <w:rPr>
                <w:rFonts w:ascii="Times New Roman" w:cs="Times New Roman" w:eastAsia="Times New Roman" w:hAnsi="Times New Roman"/>
                <w:sz w:val="18"/>
                <w:szCs w:val="18"/>
                <w:b w:val="1"/>
                <w:bCs w:val="1"/>
                <w:color w:val="auto"/>
              </w:rPr>
              <w:t>TJX International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30"/>
        </w:trPr>
        <w:tc>
          <w:tcPr>
            <w:tcW w:w="822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1,795</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3"/>
        </w:trPr>
        <w:tc>
          <w:tcPr>
            <w:tcW w:w="8220" w:type="dxa"/>
            <w:vAlign w:val="bottom"/>
            <w:tcBorders>
              <w:bottom w:val="single" w:sz="8" w:color="auto"/>
            </w:tcBorders>
            <w:shd w:val="clear" w:color="auto" w:fill="CCEEFF"/>
          </w:tcPr>
          <w:p>
            <w:pPr>
              <w:jc w:val="right"/>
              <w:ind w:right="6711"/>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TJX</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30"/>
        </w:trPr>
        <w:tc>
          <w:tcPr>
            <w:tcW w:w="822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Segment expenses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12,494</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w:t>
            </w:r>
          </w:p>
        </w:tc>
      </w:tr>
      <w:tr>
        <w:trPr>
          <w:trHeight w:val="223"/>
        </w:trPr>
        <w:tc>
          <w:tcPr>
            <w:tcW w:w="8220" w:type="dxa"/>
            <w:vAlign w:val="bottom"/>
            <w:tcBorders>
              <w:bottom w:val="single" w:sz="8" w:color="auto"/>
            </w:tcBorders>
            <w:shd w:val="clear" w:color="auto" w:fill="CCEEFF"/>
          </w:tcPr>
          <w:p>
            <w:pPr>
              <w:jc w:val="right"/>
              <w:ind w:right="6711"/>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8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r>
    </w:tbl>
    <w:p>
      <w:pPr>
        <w:spacing w:after="0" w:line="166" w:lineRule="exact"/>
        <w:rPr>
          <w:sz w:val="20"/>
          <w:szCs w:val="20"/>
          <w:color w:val="auto"/>
        </w:rPr>
      </w:pPr>
    </w:p>
    <w:p>
      <w:pPr>
        <w:ind w:left="340" w:hanging="332"/>
        <w:spacing w:after="0" w:line="268" w:lineRule="auto"/>
        <w:tabs>
          <w:tab w:leader="none" w:pos="35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for each reportable segment include cost of sales and selling, general and administrative expenses. Cost of sales includes buying and occupancy costs, cost of merchandise sold, and other expenses. Selling, general and administrative expenses include store payroll and benefit costs, communication costs, and other expenses. Refer to Note A - Basis of Presentation and Summary of Accounting Policies of Notes to Consolidated Financial Statements included in TJX’s Annual Report on Form 10-K for the fiscal year ended January 31, 2026 for more information on the classifications.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5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Pr>
          <w:p>
            <w:pPr>
              <w:spacing w:after="0"/>
              <w:rPr>
                <w:sz w:val="22"/>
                <w:szCs w:val="22"/>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January 31,</w:t>
            </w:r>
          </w:p>
        </w:tc>
        <w:tc>
          <w:tcPr>
            <w:tcW w:w="320" w:type="dxa"/>
            <w:vAlign w:val="bottom"/>
          </w:tcPr>
          <w:p>
            <w:pPr>
              <w:spacing w:after="0"/>
              <w:rPr>
                <w:sz w:val="22"/>
                <w:szCs w:val="22"/>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1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3"/>
        </w:trPr>
        <w:tc>
          <w:tcPr>
            <w:tcW w:w="5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identifiable assets</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r>
      <w:tr>
        <w:trPr>
          <w:trHeight w:val="223"/>
        </w:trPr>
        <w:tc>
          <w:tcPr>
            <w:tcW w:w="56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(a)</w:t>
            </w:r>
          </w:p>
        </w:tc>
        <w:tc>
          <w:tcPr>
            <w:tcW w:w="1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r>
      <w:tr>
        <w:trPr>
          <w:trHeight w:val="223"/>
        </w:trPr>
        <w:tc>
          <w:tcPr>
            <w:tcW w:w="5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36,158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31,858</w:t>
            </w:r>
          </w:p>
        </w:tc>
      </w:tr>
    </w:tbl>
    <w:p>
      <w:pPr>
        <w:spacing w:after="0" w:line="126" w:lineRule="exact"/>
        <w:rPr>
          <w:sz w:val="20"/>
          <w:szCs w:val="20"/>
          <w:color w:val="auto"/>
        </w:rPr>
      </w:pPr>
    </w:p>
    <w:p>
      <w:pPr>
        <w:ind w:left="340" w:right="180" w:hanging="332"/>
        <w:spacing w:after="0" w:line="302"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identifiable assets primarily include cash and trust assets from the Executive Savings Plan and the equity method investments. Consolidated cash, including that held by foreign entities, is reported with Corporate assets for consistency with segment reporting in the U.S.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segment: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7"/>
        </w:trPr>
        <w:tc>
          <w:tcPr>
            <w:tcW w:w="8360" w:type="dxa"/>
            <w:vAlign w:val="bottom"/>
          </w:tcPr>
          <w:p>
            <w:pPr>
              <w:spacing w:after="0"/>
              <w:rPr>
                <w:sz w:val="22"/>
                <w:szCs w:val="22"/>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Thirteen Weeks Ended</w:t>
            </w:r>
          </w:p>
        </w:tc>
        <w:tc>
          <w:tcPr>
            <w:tcW w:w="400" w:type="dxa"/>
            <w:vAlign w:val="bottom"/>
            <w:tcBorders>
              <w:bottom w:val="single" w:sz="8" w:color="auto"/>
            </w:tcBorders>
          </w:tcPr>
          <w:p>
            <w:pPr>
              <w:spacing w:after="0"/>
              <w:rPr>
                <w:sz w:val="22"/>
                <w:szCs w:val="22"/>
                <w:color w:val="auto"/>
              </w:rPr>
            </w:pPr>
          </w:p>
        </w:tc>
      </w:tr>
      <w:tr>
        <w:trPr>
          <w:trHeight w:val="169"/>
        </w:trPr>
        <w:tc>
          <w:tcPr>
            <w:tcW w:w="83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May 3,</w:t>
            </w:r>
          </w:p>
        </w:tc>
        <w:tc>
          <w:tcPr>
            <w:tcW w:w="400" w:type="dxa"/>
            <w:vAlign w:val="bottom"/>
          </w:tcPr>
          <w:p>
            <w:pPr>
              <w:spacing w:after="0"/>
              <w:rPr>
                <w:sz w:val="14"/>
                <w:szCs w:val="14"/>
                <w:color w:val="auto"/>
              </w:rPr>
            </w:pP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8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108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83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(a)</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(a)</w:t>
        <w:tab/>
        <w:t>Includes debt discount accretion and debt expense amortization.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H. Pension Plans and Other Retirement Benefits</w:t>
      </w:r>
    </w:p>
    <w:p>
      <w:pPr>
        <w:spacing w:after="0" w:line="1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Presented below is financial information relating to TJX’s funded defined benefit pension plan (“qualified pension plan” or “funded plan”) and its unfunded supplemental pension plan (“unfunded plan”) for the periods shown: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w w:val="99"/>
              </w:rPr>
              <w:t>Funded Plan</w:t>
            </w: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23"/>
        </w:trPr>
        <w:tc>
          <w:tcPr>
            <w:tcW w:w="5200" w:type="dxa"/>
            <w:vAlign w:val="bottom"/>
          </w:tcPr>
          <w:p>
            <w:pPr>
              <w:spacing w:after="0"/>
              <w:rPr>
                <w:sz w:val="19"/>
                <w:szCs w:val="19"/>
                <w:color w:val="auto"/>
              </w:rPr>
            </w:pPr>
          </w:p>
        </w:tc>
        <w:tc>
          <w:tcPr>
            <w:tcW w:w="26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Thirteen Weeks Ended</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52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46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May 3,</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2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and net actuarial loss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5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15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2027 for the funded plan. The Company anticipates making contributions of $6 million to provide current benefits coming due under the unfunded plan in fiscal 2027.</w:t>
      </w:r>
    </w:p>
    <w:p>
      <w:pPr>
        <w:spacing w:after="0" w:line="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amounts included in Amortization of prior service (credit) and net actuarial loss in the table above have been reclassified in their entirety from Accumulated other comprehensive (loss) income to the Consolidated Statements of Income, net of related tax effects,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Note I. Long-Term Debt and Credit Lines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long-term debt as of May 2, 2026, January 31, 2026 and May 3, 2025. All amounts are net of unamortized debt discounts.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00" w:type="dxa"/>
            <w:vAlign w:val="bottom"/>
          </w:tcPr>
          <w:p>
            <w:pPr>
              <w:spacing w:after="0"/>
              <w:rPr>
                <w:sz w:val="17"/>
                <w:szCs w:val="17"/>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January 31,</w:t>
            </w:r>
          </w:p>
        </w:tc>
        <w:tc>
          <w:tcPr>
            <w:tcW w:w="300" w:type="dxa"/>
            <w:vAlign w:val="bottom"/>
          </w:tcPr>
          <w:p>
            <w:pPr>
              <w:spacing w:after="0"/>
              <w:rPr>
                <w:sz w:val="17"/>
                <w:szCs w:val="17"/>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May 3,</w:t>
            </w:r>
          </w:p>
        </w:tc>
        <w:tc>
          <w:tcPr>
            <w:tcW w:w="0" w:type="dxa"/>
            <w:vAlign w:val="bottom"/>
          </w:tcPr>
          <w:p>
            <w:pPr>
              <w:spacing w:after="0"/>
              <w:rPr>
                <w:sz w:val="1"/>
                <w:szCs w:val="1"/>
                <w:color w:val="auto"/>
              </w:rPr>
            </w:pPr>
          </w:p>
        </w:tc>
      </w:tr>
      <w:tr>
        <w:trPr>
          <w:trHeight w:val="238"/>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unamortized debt discounts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2.250% senior unsecured notes, maturing September 15, 2026 (effective interest rate of</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2.32% after reduction of unamortized debt discount)</w:t>
            </w:r>
          </w:p>
        </w:tc>
        <w:tc>
          <w:tcPr>
            <w:tcW w:w="3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184"/>
        </w:trPr>
        <w:tc>
          <w:tcPr>
            <w:tcW w:w="68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1.150% senior unsecured notes, maturing May 15, 2028 (effective interest rate of 1.18%</w:t>
            </w: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reduction of unamortized debt discount)</w:t>
            </w:r>
          </w:p>
        </w:tc>
        <w:tc>
          <w:tcPr>
            <w:tcW w:w="36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68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3.875% senior unsecured notes, maturing April 15, 2030 (effective interest rate of 3.89%</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after reduction of unamortized debt discount)</w:t>
            </w:r>
          </w:p>
        </w:tc>
        <w:tc>
          <w:tcPr>
            <w:tcW w:w="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184"/>
        </w:trPr>
        <w:tc>
          <w:tcPr>
            <w:tcW w:w="68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1.600% senior unsecured notes, maturing May 15, 2031 (effective interest rate of 1.61%</w:t>
            </w: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reduction of unamortized debt discount)</w:t>
            </w:r>
          </w:p>
        </w:tc>
        <w:tc>
          <w:tcPr>
            <w:tcW w:w="36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68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4.500% senior unsecured notes, maturing April 15, 2050 (effective interest rate of 4.52%</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after reduction of unamortized debt discount)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net of debt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of May 2, 2026, the Company has two revolving credit facilities, a $750 million senior unsecured revolving credit facility maturing in May 2029 and a $750 million senior unsecured revolving credit facility maturing in May 2030. Borrowings under the revolving credit facilities bear interest at a rate per annum equal to the term secured overnight financing rate plus a margin of 45.0 - 87.5 basis points, depending on the Company’s public debt rating.</w:t>
      </w:r>
    </w:p>
    <w:p>
      <w:pPr>
        <w:spacing w:after="0" w:line="6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As of May 2, 2026, January 31, 2026 and May 3, 2025, and during the quarters and year then ended, there were no amounts outstanding under these facilities. TJX was in compliance with all covenants related to its credit facilities at the end of all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J. Income Taxes</w:t>
      </w:r>
    </w:p>
    <w:p>
      <w:pPr>
        <w:spacing w:after="0" w:line="1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the Company’s income tax provision for the first quarter of fiscal 2027.</w:t>
      </w:r>
    </w:p>
    <w:p>
      <w:pPr>
        <w:spacing w:after="0" w:line="69"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15% global minimum tax regime (Pillar Two) with effect from January 1, 2024. A comprehensive Side-by-Side Package was released in January 2026, introducing additional safe harbors and options for companies headquartered in jurisdictions with a qualified Side-by-Side regime. Member countries must enact local legislation or update existing regulations to adopt and incorporate the Pillar Two Side-by-Side Package. We continue to evaluate the impacts of proposed and enacted legislation for the jurisdictions in which TJX operates.</w:t>
      </w:r>
    </w:p>
    <w:p>
      <w:pPr>
        <w:spacing w:after="0" w:line="5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effective income tax rate was 22.6% for the first quarter of fiscal 2027 and 23.0% for the first quarter of fiscal 2026. The decrease in the effective income tax rate for the first quarter of fiscal 2027 was primarily due to the increase in an excess tax benefit from share-based compensation and a benefit from the acquisition of federal tax credits, partially offset by a reduction of benefits from audit settlements.</w:t>
      </w:r>
    </w:p>
    <w:p>
      <w:pPr>
        <w:spacing w:after="0" w:line="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TJX is subject to U.S. federal income tax as well as income tax in multiple state, local and foreign jurisdictions. For the U.S. federal income tax purposes, fiscal years through 2010 are no longer subject to examination. The Company is under examination in various jurisdictions, including the U.S. (federal, state, and local) as well as foreign, and believes it has adequately provided for all tax positions in such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Note K. Contingent Obligations, Contingencies, and Commitments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Contractual Obligations</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1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TJX is subject to certain legal proceedings, lawsuits, disputes and claims that arise from time to time in the ordinary course of its business. TJX has accrued immaterial amounts in the accompanying Consolidated Financial Statements for certain of its legal proceedings.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Matters</w:t>
      </w:r>
    </w:p>
    <w:p>
      <w:pPr>
        <w:spacing w:after="0" w:line="13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February 2026, the U.S. Supreme Court issued a decision invalidating tariffs imposed under the International Emergency Economic Powers Act (“IEEPA”). The Company estimates it has paid approximately $490 million in IEEPA related tariffs. U.S. Customs and Border Patrol (“CBP”) has established a phased administrative process for submitting refund claims for certain IEEPA tariffs. However, the amount, timing and likelihood of any refund recovery remain uncertain. The amount of any refunds, if received, may not equal the full amount of IEEPA related tariffs paid, and any refunds remain subject to further legal, regulatory or administrative developments.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May 2, 2026, the Company has not recorded a receivable for any potential refunds and continues to monitor ongoing legal, administrative and regulatory processes. The Company will recognize a receivable and associated income if the right to receive such amounts becomes realized or realizable in accordance with ASC 450, Contingencies.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fiscal 2027, the Company filed for refunds that it believes are eligible under phase 1 of the CBP process and as of May 29, 2026, have received an immaterial amount in refunds.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Thirteen Weeks (first quarter) Ended May 2,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Compared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Thirteen Weeks (first quarter) Ended May 3,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through our stores and six e-commerce sites. We operate over 5,200 stores through our four segments: in the U.S., Marmaxx (which operates TJ Maxx, Marshalls, tjmaxx.com and marshalls.com) and HomeGoods (which operates HomeGoods and Homesense); TJX Canada (which operates Winners, HomeSense and Marshalls in Canada); and TJX International (which operates TK Maxx, Homesense, tkmaxx.com, tkmaxx.de, and tkmaxx.at in Europe, and TK Maxx in Australia). In addition to our four segments, Sierra operates retail stores and sierra.com in the U.S. The results of Sierra are included in the Marmaxx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overview of our financial performance, results for the quarter ended May 2, 2026 include the following:</w:t>
      </w:r>
    </w:p>
    <w:p>
      <w:pPr>
        <w:spacing w:after="0" w:line="117" w:lineRule="exact"/>
        <w:rPr>
          <w:sz w:val="20"/>
          <w:szCs w:val="20"/>
          <w:color w:val="auto"/>
        </w:rPr>
      </w:pPr>
    </w:p>
    <w:p>
      <w:pPr>
        <w:ind w:left="660" w:right="60" w:hanging="324"/>
        <w:spacing w:after="0" w:line="266" w:lineRule="auto"/>
        <w:rPr>
          <w:sz w:val="20"/>
          <w:szCs w:val="20"/>
          <w:color w:val="auto"/>
        </w:rPr>
      </w:pPr>
      <w:r>
        <w:rPr>
          <w:rFonts w:ascii="Times New Roman" w:cs="Times New Roman" w:eastAsia="Times New Roman" w:hAnsi="Times New Roman"/>
          <w:sz w:val="18"/>
          <w:szCs w:val="18"/>
          <w:color w:val="auto"/>
        </w:rPr>
        <w:t>– Net sales increased 9% to $14.3 billion for the first quarter of fiscal 2027 versus last year’s first quarter sales of $13.1 billion. As of May 2, 2026, both the number of stores in operation and the selling square footage increased approximately 3% compared to the end of the first quarter of fiscal 2026.</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comp sales increased 6% for the first quarter of fiscal 2027. See Net Sales below for our definition of comp sales.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earnings per share for the first quarter of fiscal 2027 were $1.19 versus $0.92 in the first quarter of fiscal 2026.</w:t>
      </w:r>
    </w:p>
    <w:p>
      <w:pPr>
        <w:spacing w:after="0" w:line="117" w:lineRule="exact"/>
        <w:rPr>
          <w:sz w:val="20"/>
          <w:szCs w:val="20"/>
          <w:color w:val="auto"/>
        </w:rPr>
      </w:pPr>
    </w:p>
    <w:p>
      <w:pPr>
        <w:ind w:left="660" w:right="560" w:hanging="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profit margin (the ratio of pre-tax income to net sales) for the first quarter of fiscal 2027 was 12.0%, a 1.7 percentage point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10.3% in the first quarter of fiscal 2026.</w:t>
      </w:r>
    </w:p>
    <w:p>
      <w:pPr>
        <w:spacing w:after="0" w:line="52" w:lineRule="exact"/>
        <w:rPr>
          <w:sz w:val="20"/>
          <w:szCs w:val="20"/>
          <w:color w:val="auto"/>
        </w:rPr>
      </w:pPr>
    </w:p>
    <w:p>
      <w:pPr>
        <w:ind w:left="660" w:right="500" w:hanging="324"/>
        <w:spacing w:after="0" w:line="282" w:lineRule="auto"/>
        <w:rPr>
          <w:sz w:val="20"/>
          <w:szCs w:val="20"/>
          <w:color w:val="auto"/>
        </w:rPr>
      </w:pPr>
      <w:r>
        <w:rPr>
          <w:rFonts w:ascii="Times New Roman" w:cs="Times New Roman" w:eastAsia="Times New Roman" w:hAnsi="Times New Roman"/>
          <w:sz w:val="18"/>
          <w:szCs w:val="18"/>
          <w:color w:val="auto"/>
        </w:rPr>
        <w:t>– Our cost of sales, including buying and occupancy costs, ratio for the first quarter of fiscal 2027 was 68.7%, a 1.8 percentage point decrease compared with 70.5% in the first quarter of fiscal 2026.</w:t>
      </w:r>
    </w:p>
    <w:p>
      <w:pPr>
        <w:spacing w:after="0" w:line="53" w:lineRule="exact"/>
        <w:rPr>
          <w:sz w:val="20"/>
          <w:szCs w:val="20"/>
          <w:color w:val="auto"/>
        </w:rPr>
      </w:pPr>
    </w:p>
    <w:p>
      <w:pPr>
        <w:ind w:left="660" w:right="380" w:hanging="324"/>
        <w:spacing w:after="0" w:line="282" w:lineRule="auto"/>
        <w:rPr>
          <w:sz w:val="20"/>
          <w:szCs w:val="20"/>
          <w:color w:val="auto"/>
        </w:rPr>
      </w:pPr>
      <w:r>
        <w:rPr>
          <w:rFonts w:ascii="Times New Roman" w:cs="Times New Roman" w:eastAsia="Times New Roman" w:hAnsi="Times New Roman"/>
          <w:sz w:val="18"/>
          <w:szCs w:val="18"/>
          <w:color w:val="auto"/>
        </w:rPr>
        <w:t>– Our selling, general and administrative (“SG&amp;A”) expense ratio for the first quarter of fiscal 2027 was 19.5%, a 0.1 percentage point increase compared with 19.4% in the first quarter of fiscal 2026.</w:t>
      </w:r>
    </w:p>
    <w:p>
      <w:pPr>
        <w:spacing w:after="0" w:line="53" w:lineRule="exact"/>
        <w:rPr>
          <w:sz w:val="20"/>
          <w:szCs w:val="20"/>
          <w:color w:val="auto"/>
        </w:rPr>
      </w:pPr>
    </w:p>
    <w:p>
      <w:pPr>
        <w:ind w:left="660" w:right="220" w:hanging="324"/>
        <w:spacing w:after="0" w:line="282" w:lineRule="auto"/>
        <w:rPr>
          <w:sz w:val="20"/>
          <w:szCs w:val="20"/>
          <w:color w:val="auto"/>
        </w:rPr>
      </w:pPr>
      <w:r>
        <w:rPr>
          <w:rFonts w:ascii="Times New Roman" w:cs="Times New Roman" w:eastAsia="Times New Roman" w:hAnsi="Times New Roman"/>
          <w:sz w:val="18"/>
          <w:szCs w:val="18"/>
          <w:color w:val="auto"/>
        </w:rPr>
        <w:t>– Our consolidated average per store inventories, including inventory on hand at our distribution centers (which excludes inventory in transit) and excluding our e-commerce sites, were up 7% at the end of the first quarter of fiscal 2027 compared to the first quarter of fiscal 2026.</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During the first quarter of fiscal 2027, we returned $1.1 billion to our shareholders through share repurchases and 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Results as a Percentage of Net Sales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operating results as a percentage of net sales:</w:t>
            </w:r>
          </w:p>
        </w:tc>
        <w:tc>
          <w:tcPr>
            <w:tcW w:w="20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6"/>
        </w:trPr>
        <w:tc>
          <w:tcPr>
            <w:tcW w:w="7840" w:type="dxa"/>
            <w:vAlign w:val="bottom"/>
          </w:tcPr>
          <w:p>
            <w:pPr>
              <w:spacing w:after="0"/>
              <w:rPr>
                <w:sz w:val="22"/>
                <w:szCs w:val="22"/>
                <w:color w:val="auto"/>
              </w:rPr>
            </w:pPr>
          </w:p>
        </w:tc>
        <w:tc>
          <w:tcPr>
            <w:tcW w:w="340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7840" w:type="dxa"/>
            <w:vAlign w:val="bottom"/>
          </w:tcPr>
          <w:p>
            <w:pPr>
              <w:spacing w:after="0"/>
              <w:rPr>
                <w:sz w:val="14"/>
                <w:szCs w:val="14"/>
                <w:color w:val="auto"/>
              </w:rPr>
            </w:pPr>
          </w:p>
        </w:tc>
        <w:tc>
          <w:tcPr>
            <w:tcW w:w="2000" w:type="dxa"/>
            <w:vAlign w:val="bottom"/>
          </w:tcPr>
          <w:p>
            <w:pPr>
              <w:jc w:val="right"/>
              <w:ind w:right="7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140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78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68.7</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19.5</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8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3"/>
                <w:szCs w:val="23"/>
                <w:color w:val="auto"/>
                <w:vertAlign w:val="superscript"/>
              </w:rPr>
              <w:t>*</w:t>
            </w:r>
          </w:p>
        </w:tc>
        <w:tc>
          <w:tcPr>
            <w:tcW w:w="2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Recent Events and Trends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Economic Conditions and Tariffs</w:t>
      </w:r>
    </w:p>
    <w:p>
      <w:pPr>
        <w:spacing w:after="0" w:line="11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continue to closely monitor changes in international trade relations, economic and monetary policies, and legislation and regulations including those related to tariffs on imports from China and other countries. While we have been, and believe we can continue to be, successful in mitigating tariff pressures, tariffs have led to significant volatility in the global economy. We are continuing to implement and consider additional measures that seek to mitigate the impact of tariffs.</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February 2026, the U.S. Supreme Court issued a decision invalidating tariffs imposed under the International Emergency Economic Powers Act (“IEEPA”). We estimate we have paid approximately $490 million in IEEPA related tariffs. U.S. Customs and Border Patrol (“CBP”) has established a phased administrative process for submitting refund claims for certain IEEPA tariffs. However, the amount, timing and likelihood of any refund recovery remain uncertain. The amount of any refunds, if received, may not equal the full amount of IEEPA related tariffs paid, and any refunds remain subject to further legal, regulatory or administrative developments.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2, 2026, we have not recorded a receivable for any potential refunds and continue to monitor ongoing legal, administrative and regulatory processes. We will recognize a receivable and associated income if the right to receive such amounts becomes realized or realizable in accordance with ASC 450, Contingencies. Subsequent to the end of the first quarter of fiscal 2027, we filed for refunds that we believe are eligible under phase 1 of the CBP process and as of May 29, 2026 have received an immaterial amount in refunds.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extent and duration of the tariffs and the resulting impact on general economic conditions and on our business, including potential IEEPA tariff refunds, continues to be uncertain. Our buying organization’s ability to execute our merchandise sourcing model to offset the effects of the tariffs is a key factor. However, the overall impact depends on a range of factors, including trade negotiations between the U.S. and other countries, responses of other countries, judicial review, exceptions that could be granted and cost of alternative sources of merchandise.</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Uncertainty remains regarding the continued impact on our direct imports, indirect imports, vendor and competitor pricing, consumer demand, tariff pass-throughs and retaliatory tariffs. We will continue to closely monitor developments related to tariffs and evaluate their potential impact on our business and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sales for the quarter ended May 2, 2026 totaled $14.3 billion, a 9% increase versus first quarter fiscal 2026 net sales of $13.1 billion. This increase reflects a 6% increase in comp sales, a 2% increase from non-comp sales and a 1% positive impact from foreign currency. Net sales from our e-commerce sites combined amounted to approximately 2% of total sales for each of the first quarters of fiscal 2027 and fiscal 2026.</w:t>
      </w:r>
    </w:p>
    <w:p>
      <w:pPr>
        <w:spacing w:after="0" w:line="5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Comp sales increased 6% and 3% for the first quarter of fiscal 2027 and fiscal 2026, respectively. Both apparel comp sales growth (as defined below) and home comp sales growth (as defined below) performed in line with comp sales growth for the first quarter of fiscal 2027. Comp sales for the first quarter of fiscal 2027 were driven by a higher average basket and an increase in customer transactions.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2026, both our store count and selling square footage increased approximately 3% compared to the end of the first quarter last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of Comparable Sales</w:t>
      </w:r>
    </w:p>
    <w:p>
      <w:pPr>
        <w:spacing w:after="0" w:line="1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define comparable sales, or comp sales, to be sales of stores and e-commerce sites that have been in operation for all or a portion of two consecutive fiscal years, or, in other words, stores or e-commerce sites that are starting their third fiscal year of operation. In any given fiscal year, we calculate comp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sales percentage is immaterial.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excluded from comp sales (“non-comp sales”) consist of sales from:</w:t>
      </w:r>
    </w:p>
    <w:p>
      <w:pPr>
        <w:spacing w:after="0" w:line="117" w:lineRule="exact"/>
        <w:rPr>
          <w:sz w:val="20"/>
          <w:szCs w:val="20"/>
          <w:color w:val="auto"/>
        </w:rPr>
      </w:pPr>
    </w:p>
    <w:p>
      <w:pPr>
        <w:ind w:left="660" w:right="80" w:hanging="324"/>
        <w:spacing w:after="0" w:line="282" w:lineRule="auto"/>
        <w:rPr>
          <w:sz w:val="20"/>
          <w:szCs w:val="20"/>
          <w:color w:val="auto"/>
        </w:rPr>
      </w:pPr>
      <w:r>
        <w:rPr>
          <w:rFonts w:ascii="Times New Roman" w:cs="Times New Roman" w:eastAsia="Times New Roman" w:hAnsi="Times New Roman"/>
          <w:sz w:val="18"/>
          <w:szCs w:val="18"/>
          <w:color w:val="auto"/>
        </w:rPr>
        <w:t>– New stores or e-commerce sites - stores or sites that have not yet met the comp sales criteria, which represents a substantial majority of non-comp sales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Stores or e-commerce sites that are closed permanently or for an extended period of time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determine which stores and e-commerce sites are included in the comp sales calculation at the beginning of a fiscal year, and the classification remains constant throughout that year unless a store or e-commerce site is closed permanently or for an extended period during that fiscal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t>Comp sales of our foreign segments are calculated on a constant currency basis. We define constant currency basis as translating the current year’s results using the prior year’s exchange rates. This removes the effect of changes in currency exchange rates, which we believe is a more appropriate measure of performance.</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Comp sales may be referred to as “same store” sales by other retail companies. The method for calculating comp sales varies across the retail industry; therefore, our measure of comp sales may not be comparable to that of other retail companies. Comparable sales for a category such as home or apparel include sales from merchandise within such category combined across all divisions that fall within the Company’s definition of comparable sales for such period.</w:t>
      </w:r>
    </w:p>
    <w:p>
      <w:pPr>
        <w:spacing w:after="0" w:line="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define customer transactions to be the number of transactions in stores or online included in the comp sales calculation. We define average ticket to be the average retail price of the units sold. We define average basket to be the average dollar value of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Foreign Currency Exchange Rates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Translation Foreign Exchange</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assets, liabilities, net sales, net income and earnings per share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Mark-to-Market Inventory Derivatives</w:t>
      </w:r>
    </w:p>
    <w:p>
      <w:pPr>
        <w:spacing w:after="0" w:line="13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Transactional Foreign Exchange</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 Including Buying and Occupancy Costs</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sales, including buying and occupancy costs, as a percentage of net sales was 68.7% for the first quarter of fiscal 2027, a decrease of 1.8 percentage points compared to 70.5% for the first quarter of fiscal 2026.</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decrease in the cost of sales ratio, including buying and occupancy costs, for the first quarter of fiscal 2027 was driven by favorable merchandise margin due to higher markon, the favorable year-over-year impact related to the mark-to-market adjustments on inventory and fuel hedges and expense leverage on higher comp sales.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as a percentage of net sales, was 19.5% for the first quarter of fiscal 2027, an increase of 0.1 percentage points compared to 19.4% for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interest (income) expense, net are summarized below:</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26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Thirteen Weeks Ended</w:t>
            </w:r>
          </w:p>
        </w:tc>
        <w:tc>
          <w:tcPr>
            <w:tcW w:w="420" w:type="dxa"/>
            <w:vAlign w:val="bottom"/>
            <w:tcBorders>
              <w:bottom w:val="single" w:sz="8" w:color="auto"/>
            </w:tcBorders>
          </w:tcPr>
          <w:p>
            <w:pPr>
              <w:spacing w:after="0"/>
              <w:rPr>
                <w:sz w:val="22"/>
                <w:szCs w:val="22"/>
                <w:color w:val="auto"/>
              </w:rPr>
            </w:pPr>
          </w:p>
        </w:tc>
      </w:tr>
      <w:tr>
        <w:trPr>
          <w:trHeight w:val="169"/>
        </w:trPr>
        <w:tc>
          <w:tcPr>
            <w:tcW w:w="82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May 3,</w:t>
            </w:r>
          </w:p>
        </w:tc>
        <w:tc>
          <w:tcPr>
            <w:tcW w:w="420" w:type="dxa"/>
            <w:vAlign w:val="bottom"/>
          </w:tcPr>
          <w:p>
            <w:pPr>
              <w:spacing w:after="0"/>
              <w:rPr>
                <w:sz w:val="14"/>
                <w:szCs w:val="14"/>
                <w:color w:val="auto"/>
              </w:rPr>
            </w:pPr>
          </w:p>
        </w:tc>
      </w:tr>
      <w:tr>
        <w:trPr>
          <w:trHeight w:val="241"/>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(income) expense, net increased for the first quarter of fiscal 2027 compared to the same period in fiscal 2026, primarily due to an increase in interest income driven by a higher average cash balance, partially offset by a decrease in prevailing rates.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our income tax provision for the first quarter of fiscal 2027, and we do not expect them to have a material impact on our income tax provision for the fiscal year.</w:t>
      </w:r>
    </w:p>
    <w:p>
      <w:pPr>
        <w:spacing w:after="0" w:line="69"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15% global minimum tax regime (Pillar Two) with effect from January 1, 2024. A comprehensive Side-by-Side Package was released in January 2026, introducing additional safe harbors and options for companies headquartered in jurisdictions with a qualified Side-by-Side regime. Member countries must enact local legislation or update existing regulations to adopt and incorporate the Pillar Two Side-by-Side Package. We continue to evaluate the impacts of proposed and enacted legislation for the jurisdictions in which we operate.</w:t>
      </w:r>
    </w:p>
    <w:p>
      <w:pPr>
        <w:spacing w:after="0" w:line="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22.6% for the first quarter of fiscal 2027 and 23.0% for the first quarter of fiscal 2026. The decrease in the effective tax rate for the first quarter of fiscal 2027 was primarily due to the increase in an excess tax benefit from share-based compensation and a benefit from the acquisition of federal tax credits, partially offset by a reduction of benefits from audit settlements.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and Diluted Earnings Per Share</w:t>
      </w:r>
    </w:p>
    <w:p>
      <w:pPr>
        <w:spacing w:after="0" w:line="1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income was $1.3 billion, or $1.19 per diluted share, and $1 billion, or $0.92 per diluted share, for the first quarter of fiscal 2027 and fiscal 2026, respectively. Foreign currency had a $0.01 positive impact on diluted earnings per share for the first quarter of fiscal 2027 and a $0.02 negative impact on diluted earnings per share for the first quarter of fiscal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four segments. In the United States, our Marmaxx segment operates TJ Maxx, Marshalls, tjmaxx.com and marshalls.com and our HomeGoods segment operates HomeGoods and Homesense. Our TJX Canada segment operates Winners, HomeSense and Marshalls in Canada, and our TJX International segment operates TK Maxx, Homesense, tkmaxx.com, tkmaxx.de, and tkmaxx.at in Europe and TK Maxx in Australia. In addition to our four segments, Sierra operates retail stores and sierra.com in the U.S. The results of Sierra are included in the Marmaxx segment.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on “segment profit or loss,” which we define as pre-tax income or loss before general corporate expense and interest (income) expense, net, and certain separately disclosed unusual or infrequent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selected financial information related to our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U.S. SEGMENTS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Marmaxx</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2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8,650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8,052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1,269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TJ Maxx</w:t>
            </w: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1,354</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Marshalls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1,265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Sierra</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81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2,772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TJ Maxx</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Marshalls</w:t>
            </w: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Sierra</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Marmaxx were $8.7 billion for the first quarter of fiscal 2027, an increase of 7% compared to $8.1 billion for the first quarter of fiscal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in the first quarter reflects a 6% increase from comp sales and a 1% increase from non-comp sales.</w:t>
      </w:r>
    </w:p>
    <w:p>
      <w:pPr>
        <w:spacing w:after="0" w:line="9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the first quarter of fiscal 2027, the increase in comp sales was driven by a higher average basket and an increase in customer transactions. Marmaxx apparel comp sales growth outperformed home comp sales growth for the first quarter of fiscal 2027. Geographically, each region performed in line with comp sales growth for the first quarter of fiscal 2027.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3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14.7% for the first quarter of fiscal 2027 compared to 13.7% for the same period last year. The increase in segment profit margin for the first quarter of fiscal 2027 was primarily driven by favorable merchandise margin due to higher markon and expense leverage on higher comp sales.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Marmaxx e-commerce sites, tjmaxx.com and marshalls.com, together with sierra.com, represented approximately 3% of Marmaxx’s net sales for the first quarter of fiscal 2027 and fiscal 2026, and did not have a significant impact on year-over-year segment margin comparisons.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HomeGoods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320" w:type="dxa"/>
            <w:vAlign w:val="bottom"/>
          </w:tcPr>
          <w:p>
            <w:pPr>
              <w:spacing w:after="0"/>
              <w:rPr>
                <w:sz w:val="14"/>
                <w:szCs w:val="14"/>
                <w:color w:val="auto"/>
              </w:rPr>
            </w:pPr>
          </w:p>
        </w:tc>
        <w:tc>
          <w:tcPr>
            <w:tcW w:w="120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2,506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HomeGoods</w:t>
            </w: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969</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Homesense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84</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1,053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HomeGoods</w:t>
            </w:r>
          </w:p>
        </w:tc>
        <w:tc>
          <w:tcPr>
            <w:tcW w:w="3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Homesense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sales for HomeGoods were $2.5 billion for the first quarter of fiscal 2027, an increase of 11%, compared to $2.3 billion for the first quarter of fiscal 2026. This increase in the first quarter reflects a 9% increase from comp sales and a 2% increase from non-comp sales.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 sales was driven by a higher average basket and an increase in customer transactions for the first quarter of fiscal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Geographically, all regions saw strong comp sales growth with comp sales growth being strongest in the Midwest for the first quarter of fiscal 2027.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12.9% for the first quarter of fiscal 2027 compared to 10.2% for the same period last year. This increase in segment profit margin for the first quarter of fiscal 2027 was driven by favorable merchandise margin, expense leverage on higher comp sales and lower supply chain and store costs. Merchandise margin reflects lower freight costs and favorable markon, partially offset by higher markdowns.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FOREIGN SEGMENTS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TJX Canada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280" w:type="dxa"/>
            <w:vAlign w:val="bottom"/>
          </w:tcPr>
          <w:p>
            <w:pPr>
              <w:spacing w:after="0"/>
              <w:rPr>
                <w:sz w:val="14"/>
                <w:szCs w:val="14"/>
                <w:color w:val="auto"/>
              </w:rPr>
            </w:pPr>
          </w:p>
        </w:tc>
        <w:tc>
          <w:tcPr>
            <w:tcW w:w="11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1,285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Winners</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319</w:t>
            </w:r>
          </w:p>
        </w:tc>
        <w:tc>
          <w:tcPr>
            <w:tcW w:w="2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HomeSense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Marshalls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593</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Winners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HomeSense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Marshalls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for TJX Canada were $1.3 billion for the first quarter of fiscal 2027, an increase of 12%, compared to $1.1 billion for the first quarter of fiscal 2026. This increase in the first quarter reflects a 7% increase in comp sales, a positive foreign currency impact of 3% and a 2% increase in non-comp sales.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 sales for the first quarter of fiscal 2027 was driven by an increase in customer transactions and a higher average basket.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11.7% for the first quarter of fiscal 2027 compared to 10.7% for the same period last year. This increase for the first quarter of fiscal 2027 was primarily driven by expense leverage on higher comp sales and the year-over-year benefit from unfavorable transactional foreign exchange last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TJX International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169"/>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May 2,</w:t>
            </w:r>
          </w:p>
        </w:tc>
        <w:tc>
          <w:tcPr>
            <w:tcW w:w="280" w:type="dxa"/>
            <w:vAlign w:val="bottom"/>
          </w:tcPr>
          <w:p>
            <w:pPr>
              <w:spacing w:after="0"/>
              <w:rPr>
                <w:sz w:val="14"/>
                <w:szCs w:val="14"/>
                <w:color w:val="auto"/>
              </w:rPr>
            </w:pPr>
          </w:p>
        </w:tc>
        <w:tc>
          <w:tcPr>
            <w:tcW w:w="11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May 3,</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1,882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1,661</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sales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TK Maxx (Europe)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679</w:t>
            </w:r>
          </w:p>
        </w:tc>
        <w:tc>
          <w:tcPr>
            <w:tcW w:w="2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Homesense (Europe)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TK Maxx (Australia)</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844</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TK Maxx (Europe)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Homesense (Europe)</w:t>
            </w:r>
          </w:p>
        </w:tc>
        <w:tc>
          <w:tcPr>
            <w:tcW w:w="30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TK Maxx (Australia)</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sales for TJX International were $1.9 billion for the first quarter of fiscal 2027, an increase of 13%, compared to $1.7 billion for the first quarter of fiscal 2026. This increase in the first quarter reflects a positive foreign currency impact of 6%, a 4% increase in comp sales and a 3% increase in non-comp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 sales for the first quarter of fiscal 2027 was driven by an increase in customer transactions and a higher average basket.</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E-commerce sales represented approximately 3% of TJX International’s net sales for the first quarter of fiscal 2027 and approximately 4% for the first quarter of fiscal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4.6% for the first quarter of fiscal 2027 compared to 4.3% for the same period last year. This increase for the first quarter of fiscal 2027 was primarily due to favorable merchandise margin, partially offset by incremental store wage. Within merchandise margin, higher markon, driven by the positive impact of transactional foreign exchange on the cost of merchandise, was partially offset by higher markdowns.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CORPORATE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Thirteen Weeks Ended</w:t>
            </w:r>
          </w:p>
        </w:tc>
        <w:tc>
          <w:tcPr>
            <w:tcW w:w="380" w:type="dxa"/>
            <w:vAlign w:val="bottom"/>
            <w:tcBorders>
              <w:bottom w:val="single" w:sz="8" w:color="auto"/>
            </w:tcBorders>
          </w:tcPr>
          <w:p>
            <w:pPr>
              <w:spacing w:after="0"/>
              <w:rPr>
                <w:sz w:val="20"/>
                <w:szCs w:val="20"/>
                <w:color w:val="auto"/>
              </w:rPr>
            </w:pPr>
          </w:p>
        </w:tc>
      </w:tr>
      <w:tr>
        <w:trPr>
          <w:trHeight w:val="169"/>
        </w:trPr>
        <w:tc>
          <w:tcPr>
            <w:tcW w:w="8600" w:type="dxa"/>
            <w:vAlign w:val="bottom"/>
          </w:tcPr>
          <w:p>
            <w:pPr>
              <w:spacing w:after="0"/>
              <w:rPr>
                <w:sz w:val="14"/>
                <w:szCs w:val="14"/>
                <w:color w:val="auto"/>
              </w:rPr>
            </w:pPr>
          </w:p>
        </w:tc>
        <w:tc>
          <w:tcPr>
            <w:tcW w:w="940" w:type="dxa"/>
            <w:vAlign w:val="bottom"/>
          </w:tcPr>
          <w:p>
            <w:pPr>
              <w:jc w:val="center"/>
              <w:ind w:left="2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360" w:type="dxa"/>
            <w:vAlign w:val="bottom"/>
          </w:tcPr>
          <w:p>
            <w:pPr>
              <w:spacing w:after="0"/>
              <w:rPr>
                <w:sz w:val="14"/>
                <w:szCs w:val="14"/>
                <w:color w:val="auto"/>
              </w:rPr>
            </w:pPr>
          </w:p>
        </w:tc>
        <w:tc>
          <w:tcPr>
            <w:tcW w:w="960" w:type="dxa"/>
            <w:vAlign w:val="bottom"/>
          </w:tcPr>
          <w:p>
            <w:pPr>
              <w:jc w:val="center"/>
              <w:ind w:left="310"/>
              <w:spacing w:after="0" w:line="169" w:lineRule="exact"/>
              <w:rPr>
                <w:sz w:val="20"/>
                <w:szCs w:val="20"/>
                <w:color w:val="auto"/>
              </w:rPr>
            </w:pPr>
            <w:r>
              <w:rPr>
                <w:rFonts w:ascii="Times New Roman" w:cs="Times New Roman" w:eastAsia="Times New Roman" w:hAnsi="Times New Roman"/>
                <w:sz w:val="18"/>
                <w:szCs w:val="18"/>
                <w:color w:val="auto"/>
              </w:rPr>
              <w:t>May 3,</w:t>
            </w:r>
          </w:p>
        </w:tc>
        <w:tc>
          <w:tcPr>
            <w:tcW w:w="380" w:type="dxa"/>
            <w:vAlign w:val="bottom"/>
          </w:tcPr>
          <w:p>
            <w:pPr>
              <w:spacing w:after="0"/>
              <w:rPr>
                <w:sz w:val="14"/>
                <w:szCs w:val="14"/>
                <w:color w:val="auto"/>
              </w:rPr>
            </w:pPr>
          </w:p>
        </w:tc>
      </w:tr>
      <w:tr>
        <w:trPr>
          <w:trHeight w:val="241"/>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r>
      <w:tr>
        <w:trPr>
          <w:trHeight w:val="225"/>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corporate expense for segment reporting purposes represents those costs not specifically related to the operations of our segments. General corporate expenses are primarily included in SG&amp;A expenses. The mark-to-market adjustment of our fuel and inventory hedges is included in cost of sales, including buying and occupancy costs.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decrease in general corporate expense for the first quarter of fiscal 2027 was primarily driven by the favorable year-over-year impact related to the mark-to-market adjustments on inventory and fuel hedge, partially offset by higher incentive compensation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ANALYSIS OF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liquidity requirements have traditionally been funded through cash generated from operations, supplemented, as needed, by short-term bank borrowings and the issuance of commercial paper. As of May 2, 2026, there were no short-term bank borrowings or commercial paper outstanding. We believe our existing cash and cash equivalents, internally generated funds and our credit facilities, under which facilities we have $1.5 billion available as of the period ended May 2, 2026, are adequate to meet our operating needs for the foreseeable future. Our 2.25% ten-year Notes due September 2026 will mature during our third quarter of fiscal 2027 and are included within our current maturities of long-term debt. For more information, see Note I—Long-Term Debt and Credit Lines of Notes to Consolidated Financial Statements.</w:t>
      </w:r>
    </w:p>
    <w:p>
      <w:pPr>
        <w:spacing w:after="0" w:line="7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May 2, 2026, we held $5.6 billion in cash. Our foreign subsidiaries held $1.3 billion in cash, including approximately $730 million, primarily in Europe, which represents working capital and is considered indefinitely reinvested. Cash generated from earnings in certain foreign subsidiaries in fiscal 2027 and onward will not be considered indefinitely reinvested. We have provided for and recorded a deferred tax liability for all applicable taxes on undistributed earnings of our foreign subsidiaries that are not indefinitely reinvested through May 2, 2026. If we repatriate cash from such subsidiaries, we should not incur additional tax expense and our cash would be reduced by the amount of withholding taxes paid.</w:t>
      </w:r>
    </w:p>
    <w:p>
      <w:pPr>
        <w:spacing w:after="0" w:line="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monitor debt financing markets on an ongoing basis and from time to time may incur additional long-term indebtedness depending on prevailing market conditions, liquidity requirements, existing economic conditions and other factors. Periodically, we have used, and in the future we may again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activities resulted in net cash inflows of $1.1 billion for the three months ended May 2, 2026 and $394 million for the three months ended May 3, 2025.</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cash flows increased $725 million compared to fiscal 2026 primarily due to a decrease of prepaid expenses and other current assets related to the receipt of the credit card interchange fees settlement and an increase in net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Investing activities resulted in net cash outflows of $673 million for the three months ended May 2, 2026 and $503 million for the three months ended May 3, 2025. The cash outflows for both periods were driven by capital expenditures.</w:t>
      </w:r>
    </w:p>
    <w:p>
      <w:pPr>
        <w:spacing w:after="0" w:line="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Capital expenditures in the first three months of fiscal 2027 primarily reflected store improvements and renovations, investments in our new stores, as well as investments in our distribution centers and offices, including information technology. We anticipate that capital spending for the full fiscal year 2027 will be approximately $2.2 billion to $2.3 billion. We plan to fund these expenditures with our existing cash balances and through internally generated funds.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3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Financing activities resulted in net cash outflows of $1.1 billion for the first three months of fiscal 2027 and $1 billion for the first three months of fiscal 2026. The cash outflows for both periods were primarily driven by equity repurchases and dividend payments.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our stock repurchase programs, we paid $604 million to repurchase and retire 3.8 million shares of our stock in the first three months of fiscal 2027 and we paid $613 million to repurchase and retire 5.1 million shares of our stock in the first three months of fiscal 2026.</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currently plan to repurchase approximately $2.75 billion to $3.0 billion of common stock under our stock repurchase programs for fiscal 2027. As of May 2, 2026, approximately $3.5 billion remained available under our existing stock repurchase programs. For further information regarding equity repurchases, see Note D – Capital Stock and Earnings Per Share of Notes to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declared quarterly dividends on our common stock of $0.48 per share for the first three months of fiscal 2027 and $0.425 per share for the first three months of fiscal 2026. Cash payments for dividends on our common stock totaled $474 million for the first three months of fiscal 2027 and $424 million for the first three months of fiscal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3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as discussed in TJX's Annual Report on Form 10-K for the fiscal year ended January 31,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1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a discussion of accounting standards, see Note A—Basis of Presentation and Summary of Significant Accounting Policies of Notes to Consolidated Financial Statements included in TJX’s Annual Report on Form 10-K for the fiscal year ended January 31, 2026 and Note A—Basis of Presentation and Summary of Significant Accounting Policies of Notes to Consolidated Financial Statements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These forward-looking statements generally can be identified by the use of words such as “aim,” “anticipate,” “approximately,” “believe,” “continue,” “could,” “estimate,” “expect,” “forecast,” “goal,” “intend,” “may,” “plan,” “potential,” “project,” “seek,” “should,” “strive,” “target,” “will,” and “would,” or any variations of these words or other words with similar meanings. These forward-looking statements address various matters that we intend, expect or believe may occur in the future, including, among others, some of the statements in this Form 10-Q under Item 1, “Consolidated Financial Statements” and Item 2, “Management’s Discussion and Analysis of Financial Condition and Results of Operations,” relating to, among others, the Company's anticipated operating and financial performance, business plans and prospects, investments, the availability of merchandise, execution of our business model, payment of dividends, plans for future stock repurchases, future use and availability of cash and cash equivalents, expected capital expenditures, trends in demand for our products, the impact of foreign exchange rates, expectations with respect to future store openings, the recovery of tariff refunds and the impact of fuel resources and supply chain on our inventory flow and financial performance and plans with respect to long-term indebtedness. Each forward-looking statement contained in this Form 10-Q is inherently subject to risks, uncertainties and potentially inaccurate assumptions that could cause actual results to differ materially from those expressed or implied by such statement.</w:t>
      </w:r>
    </w:p>
    <w:p>
      <w:pPr>
        <w:spacing w:after="0" w:line="8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quarterly and annual operating results, financial performance, business plan prospects, investments and market expectations; inventory or asset loss; cash flow and plans with respect to long-term indebtedness;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fluctuations in fuel prices;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our most recent Annual Report on Form 10-K for the fiscal year ended January 31, 2026, as well as the other information we file with the U.S. Securities and Exchange Commission (“SEC”).</w:t>
      </w:r>
    </w:p>
    <w:p>
      <w:pPr>
        <w:spacing w:after="0" w:line="9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caution investors, potential investors, and others not to place considerable reliance on the forward-looking statements contained in this Form 10-Q. You are encouraged to read our filings with the SEC and any further disclosures we may make in our future reports to the SEC, available at www.sec.gov, on our website, or otherwise, for a discussion of these and other risks and uncertainties. Our forward-looking statements in this report speak only as of the date of this Form 10-Q, and we undertake no obligation to update or revise any of these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Annual Report on Form 10-K for the fiscal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of May 2, 2026 pursuant to Rules 13a-15(b) and 15d-15(b) of the Securities Exchange Act of 1934, as amended (the “Act”). Based upon that evaluation, our Chief Executive Officer and Chief Financial Officer concluded that our disclosure controls and procedures are effective at the reasonable assurance level in ensuring that information required to be disclosed by us in the reports that we file or submit under the Act is (i) recorded, processed, summarized and reported, within the time periods specified in the Securities and Exchange Commission’s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Act) during the fiscal quarter ended May 2, 2026 identified in connection with the evaluation by our management, including our Chief Executive Officer and Chief Financial Officer, that have materially affected, or are reasonably likely to materially affect, our internal control over financial reporting.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See Legal Contingencies in </w:t>
      </w:r>
      <w:r>
        <w:rPr>
          <w:rFonts w:ascii="Times New Roman" w:cs="Times New Roman" w:eastAsia="Times New Roman" w:hAnsi="Times New Roman"/>
          <w:sz w:val="18"/>
          <w:szCs w:val="18"/>
          <w:u w:val="single" w:color="auto"/>
          <w:color w:val="0000FF"/>
        </w:rPr>
        <w:t>Note K—Contingent Obligations, Contingencies, and Commitments</w:t>
      </w:r>
      <w:r>
        <w:rPr>
          <w:rFonts w:ascii="Times New Roman" w:cs="Times New Roman" w:eastAsia="Times New Roman" w:hAnsi="Times New Roman"/>
          <w:sz w:val="18"/>
          <w:szCs w:val="18"/>
          <w:color w:val="auto"/>
        </w:rPr>
        <w:t xml:space="preserve"> of Notes to Consolidated Financial Statements for information on legal proceedings.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“Risk Factors” section of our Annual Report on Form 10-K for the year ended January 31, 2026, as filed with the Securities Exchange Commission on March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ON SHARE REPURCHASES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repurchased by TJX during the first quarter of fiscal 2027 and the average price paid per share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200" w:type="dxa"/>
            <w:vAlign w:val="bottom"/>
          </w:tcPr>
          <w:p>
            <w:pPr>
              <w:spacing w:after="0"/>
              <w:rPr>
                <w:sz w:val="18"/>
                <w:szCs w:val="18"/>
                <w:color w:val="auto"/>
              </w:rPr>
            </w:pPr>
          </w:p>
        </w:tc>
        <w:tc>
          <w:tcPr>
            <w:tcW w:w="1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May Yet be</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04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w w:val="99"/>
              </w:rPr>
              <w:t>Total</w:t>
            </w: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 Paid</w:t>
            </w:r>
          </w:p>
        </w:tc>
        <w:tc>
          <w:tcPr>
            <w:tcW w:w="18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Part of Publicly</w:t>
            </w:r>
          </w:p>
        </w:tc>
        <w:tc>
          <w:tcPr>
            <w:tcW w:w="200" w:type="dxa"/>
            <w:vAlign w:val="bottom"/>
          </w:tcPr>
          <w:p>
            <w:pPr>
              <w:spacing w:after="0"/>
              <w:rPr>
                <w:sz w:val="16"/>
                <w:szCs w:val="16"/>
                <w:color w:val="auto"/>
              </w:rPr>
            </w:pPr>
          </w:p>
        </w:tc>
        <w:tc>
          <w:tcPr>
            <w:tcW w:w="17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Purchased Under</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4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9"/>
              </w:rPr>
              <w:t>Number of Shares</w:t>
            </w:r>
          </w:p>
        </w:tc>
        <w:tc>
          <w:tcPr>
            <w:tcW w:w="1580" w:type="dxa"/>
            <w:vAlign w:val="bottom"/>
            <w:gridSpan w:val="2"/>
            <w:vMerge w:val="continue"/>
          </w:tcPr>
          <w:p>
            <w:pPr>
              <w:spacing w:after="0"/>
              <w:rPr>
                <w:sz w:val="15"/>
                <w:szCs w:val="15"/>
                <w:color w:val="auto"/>
              </w:rPr>
            </w:pPr>
          </w:p>
        </w:tc>
        <w:tc>
          <w:tcPr>
            <w:tcW w:w="18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Announced</w:t>
            </w: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the Plans or</w:t>
            </w:r>
          </w:p>
        </w:tc>
        <w:tc>
          <w:tcPr>
            <w:tcW w:w="0" w:type="dxa"/>
            <w:vAlign w:val="bottom"/>
          </w:tcPr>
          <w:p>
            <w:pPr>
              <w:spacing w:after="0"/>
              <w:rPr>
                <w:sz w:val="1"/>
                <w:szCs w:val="1"/>
                <w:color w:val="auto"/>
              </w:rPr>
            </w:pPr>
          </w:p>
        </w:tc>
      </w:tr>
      <w:tr>
        <w:trPr>
          <w:trHeight w:val="239"/>
        </w:trPr>
        <w:tc>
          <w:tcPr>
            <w:tcW w:w="37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Repurchased</w:t>
            </w:r>
            <w:r>
              <w:rPr>
                <w:rFonts w:ascii="Times New Roman" w:cs="Times New Roman" w:eastAsia="Times New Roman" w:hAnsi="Times New Roman"/>
                <w:sz w:val="10"/>
                <w:szCs w:val="10"/>
                <w:color w:val="auto"/>
              </w:rPr>
              <w:t>(a)</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10"/>
                <w:szCs w:val="10"/>
                <w:color w:val="auto"/>
              </w:rPr>
              <w:t>(b)</w:t>
            </w:r>
          </w:p>
        </w:tc>
        <w:tc>
          <w:tcPr>
            <w:tcW w:w="1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Plans or Programs</w:t>
            </w:r>
            <w:r>
              <w:rPr>
                <w:rFonts w:ascii="Times New Roman" w:cs="Times New Roman" w:eastAsia="Times New Roman" w:hAnsi="Times New Roman"/>
                <w:sz w:val="10"/>
                <w:szCs w:val="10"/>
                <w:color w:val="auto"/>
                <w:w w:val="99"/>
              </w:rPr>
              <w:t>(a)</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Programs</w:t>
            </w:r>
            <w:r>
              <w:rPr>
                <w:rFonts w:ascii="Times New Roman" w:cs="Times New Roman" w:eastAsia="Times New Roman" w:hAnsi="Times New Roman"/>
                <w:sz w:val="10"/>
                <w:szCs w:val="10"/>
                <w:color w:val="auto"/>
                <w:w w:val="99"/>
              </w:rPr>
              <w:t>(c)</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646,407</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154.40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3,970,048,067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2026 through April 4, 2026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1,665,217</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157.64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3,707,550,807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5, 2026 through May 2, 2026</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1,519,344</w:t>
            </w: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159.28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3,465,549,675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3,830,968</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3,830,968</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repurchased under publicly announced stock repurchase programs.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for the shares repurchased under stock repurchase programs.</w:t>
      </w:r>
    </w:p>
    <w:p>
      <w:pPr>
        <w:spacing w:after="0" w:line="68"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2026, we announced that our Board of Directors had approved a new stock repurchase program that authorized the repurchase of up to an additional $3.0 billion of our common stock from time to time. Under this program and previously announced programs, we had approximately $3.5 billion available for repurchase as of May 2,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May 2, 2026, none of our directors or officers adopted, materially modified, or terminated a “Rule 10b5-1 trading arrangement” or “non-Rule 10b5-1 trading arrangement,” as those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85"/>
        </w:trPr>
        <w:tc>
          <w:tcPr>
            <w:tcW w:w="800" w:type="dxa"/>
            <w:vAlign w:val="bottom"/>
            <w:vMerge w:val="continue"/>
          </w:tcPr>
          <w:p>
            <w:pPr>
              <w:spacing w:after="0"/>
              <w:rPr>
                <w:sz w:val="16"/>
                <w:szCs w:val="16"/>
                <w:color w:val="auto"/>
              </w:rPr>
            </w:pPr>
          </w:p>
        </w:tc>
        <w:tc>
          <w:tcPr>
            <w:tcW w:w="7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7380" w:type="dxa"/>
            <w:vAlign w:val="bottom"/>
            <w:tcBorders>
              <w:bottom w:val="single" w:sz="8" w:color="auto"/>
            </w:tcBorders>
            <w:gridSpan w:val="4"/>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82"/>
        </w:trPr>
        <w:tc>
          <w:tcPr>
            <w:tcW w:w="8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738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8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filed herewith</w:t>
            </w:r>
          </w:p>
        </w:tc>
        <w:tc>
          <w:tcPr>
            <w:tcW w:w="62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18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filed herewith</w:t>
            </w:r>
          </w:p>
        </w:tc>
        <w:tc>
          <w:tcPr>
            <w:tcW w:w="2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3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8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filed herewith</w:t>
            </w:r>
          </w:p>
        </w:tc>
        <w:tc>
          <w:tcPr>
            <w:tcW w:w="62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filed herewith</w:t>
            </w:r>
          </w:p>
        </w:tc>
        <w:tc>
          <w:tcPr>
            <w:tcW w:w="6160" w:type="dxa"/>
            <w:vAlign w:val="bottom"/>
            <w:tcBorders>
              <w:top w:val="single" w:sz="8" w:color="0000FF"/>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738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The TJX Companies, Inc.’s Quarterly Report on Form 10-Q for the</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738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quarter ended May 2, 2026, formatted in Inline XBRL (Extensible Business Reporting Language): (i)</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738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Consolidated Statements of Income, (ii) the Consolidated Statements of Comprehensive Income,</w:t>
            </w: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72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ind w:left="800" w:right="3660" w:firstLine="9"/>
        <w:spacing w:after="0" w:line="223" w:lineRule="auto"/>
        <w:tabs>
          <w:tab w:leader="none" w:pos="1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Sheets, (iv) the Consolidated Statements of Cash Flows, (v) the Consolidated Statements of Shareholders’ Equity, and (vi) Notes to Consolidated Financial Statements.</w:t>
      </w:r>
    </w:p>
    <w:p>
      <w:pPr>
        <w:spacing w:after="0" w:line="2" w:lineRule="exact"/>
        <w:rPr>
          <w:sz w:val="20"/>
          <w:szCs w:val="20"/>
          <w:color w:val="auto"/>
        </w:rPr>
      </w:pPr>
    </w:p>
    <w:p>
      <w:pPr>
        <w:ind w:left="800" w:right="3500" w:hanging="536"/>
        <w:spacing w:after="0" w:line="245" w:lineRule="auto"/>
        <w:tabs>
          <w:tab w:leader="none" w:pos="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TJX Companies, Inc.’s Quarterly Report on Form 10-Q for the quarter ended May 2, 2026, formatted in Inline XBRL (included in Exhibit 101)</w:t>
      </w:r>
    </w:p>
    <w:p>
      <w:pPr>
        <w:spacing w:after="0" w:line="144" w:lineRule="exact"/>
        <w:rPr>
          <w:rFonts w:ascii="Times New Roman" w:cs="Times New Roman" w:eastAsia="Times New Roman" w:hAnsi="Times New Roman"/>
          <w:sz w:val="18"/>
          <w:szCs w:val="18"/>
          <w:color w:val="auto"/>
        </w:rPr>
      </w:pPr>
    </w:p>
    <w:p>
      <w:pPr>
        <w:ind w:right="32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Schedules and certain portions of this exhibit are omitted pursuant to Item 601 of Regulation S-K. The Company agrees to furnish a supplemental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1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63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1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John Klinger, Chief Financial Officer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99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Ernie Herrman, certify that:</w:t>
      </w:r>
    </w:p>
    <w:p>
      <w:pPr>
        <w:spacing w:after="0" w:line="50" w:lineRule="exact"/>
        <w:rPr>
          <w:sz w:val="20"/>
          <w:szCs w:val="20"/>
          <w:color w:val="auto"/>
        </w:rPr>
      </w:pPr>
    </w:p>
    <w:p>
      <w:pPr>
        <w:ind w:left="600" w:hanging="547"/>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635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Ernie Herrman</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Klinger, certify that:</w:t>
      </w:r>
    </w:p>
    <w:p>
      <w:pPr>
        <w:spacing w:after="0" w:line="50" w:lineRule="exact"/>
        <w:rPr>
          <w:sz w:val="20"/>
          <w:szCs w:val="20"/>
          <w:color w:val="auto"/>
        </w:rPr>
      </w:pPr>
    </w:p>
    <w:p>
      <w:pPr>
        <w:ind w:left="600" w:hanging="547"/>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635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John Klinger</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121" w:lineRule="exact"/>
        <w:rPr>
          <w:sz w:val="20"/>
          <w:szCs w:val="20"/>
          <w:color w:val="auto"/>
        </w:rPr>
      </w:pPr>
    </w:p>
    <w:p>
      <w:pPr>
        <w:ind w:left="360" w:right="280" w:hanging="334"/>
        <w:spacing w:after="0" w:line="237"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fiscal quarter ended May 2, 2026 fully complies with the requirements of Section 13(a) or 15(d) of the Securities Exchange Act of 1934; and</w:t>
      </w:r>
    </w:p>
    <w:p>
      <w:pPr>
        <w:spacing w:after="0" w:line="280" w:lineRule="exact"/>
        <w:rPr>
          <w:sz w:val="20"/>
          <w:szCs w:val="20"/>
          <w:color w:val="auto"/>
        </w:rPr>
      </w:pPr>
    </w:p>
    <w:p>
      <w:pPr>
        <w:ind w:left="360" w:right="160" w:hanging="334"/>
        <w:spacing w:after="0" w:line="237"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fiscal quarter ended May 2, 2026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888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Ernie Herrman</w:t>
      </w:r>
    </w:p>
    <w:p>
      <w:pPr>
        <w:spacing w:after="0" w:line="2" w:lineRule="exact"/>
        <w:rPr>
          <w:sz w:val="20"/>
          <w:szCs w:val="20"/>
          <w:color w:val="auto"/>
        </w:rPr>
      </w:pPr>
    </w:p>
    <w:p>
      <w:pPr>
        <w:ind w:left="6660"/>
        <w:spacing w:after="0"/>
        <w:tabs>
          <w:tab w:leader="none" w:pos="7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121" w:lineRule="exact"/>
        <w:rPr>
          <w:sz w:val="20"/>
          <w:szCs w:val="20"/>
          <w:color w:val="auto"/>
        </w:rPr>
      </w:pPr>
    </w:p>
    <w:p>
      <w:pPr>
        <w:ind w:left="440" w:right="200" w:hanging="414"/>
        <w:spacing w:after="0" w:line="237"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fiscal quarter ended May 2, 2026 fully complies with the requirements of Section 13(a) or 15(d) of the Securities Exchange Act of 1934; and</w:t>
      </w:r>
    </w:p>
    <w:p>
      <w:pPr>
        <w:spacing w:after="0" w:line="280" w:lineRule="exact"/>
        <w:rPr>
          <w:sz w:val="20"/>
          <w:szCs w:val="20"/>
          <w:color w:val="auto"/>
        </w:rPr>
      </w:pPr>
    </w:p>
    <w:p>
      <w:pPr>
        <w:ind w:left="440" w:right="80" w:hanging="414"/>
        <w:spacing w:after="0" w:line="237"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fiscal quarter ended May 2, 2026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888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John Klinger</w:t>
      </w:r>
    </w:p>
    <w:p>
      <w:pPr>
        <w:spacing w:after="0" w:line="2" w:lineRule="exact"/>
        <w:rPr>
          <w:sz w:val="20"/>
          <w:szCs w:val="20"/>
          <w:color w:val="auto"/>
        </w:rPr>
      </w:pPr>
    </w:p>
    <w:p>
      <w:pPr>
        <w:ind w:left="6660"/>
        <w:spacing w:after="0"/>
        <w:tabs>
          <w:tab w:leader="none" w:pos="7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endash "/>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endash "/>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2026-05-29T14:17:07Z</dcterms:created>
  <dcterms:modified xsi:type="dcterms:W3CDTF">2026-05-29T14:17:07Z</dcterms:modified>
</cp:coreProperties>
</file>