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6953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953250"/>
                    </a:xfrm>
                    <a:prstGeom prst="rect">
                      <a:avLst/>
                    </a:prstGeom>
                    <a:noFill/>
                  </pic:spPr>
                </pic:pic>
              </a:graphicData>
            </a:graphic>
          </wp:anchor>
        </w:drawing>
      </w:r>
    </w:p>
    <w:p>
      <w:pPr>
        <w:spacing w:after="0" w:line="123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LANE AMY B</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620" w:type="dxa"/>
            <w:vAlign w:val="bottom"/>
          </w:tcPr>
          <w:p>
            <w:pPr>
              <w:ind w:left="42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THE TJX COMPANIES, INC.</w:t>
            </w:r>
          </w:p>
        </w:tc>
        <w:tc>
          <w:tcPr>
            <w:tcW w:w="12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770 COCHITUATE RD.</w:t>
            </w:r>
          </w:p>
        </w:tc>
        <w:tc>
          <w:tcPr>
            <w:tcW w:w="12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5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FRAMINGHAM MA</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01701</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620" w:type="dxa"/>
            <w:vAlign w:val="bottom"/>
          </w:tcPr>
          <w:p>
            <w:pPr>
              <w:ind w:left="42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TJX COMPANIES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TJX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06/09/2026</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802</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jc w:val="center"/>
              <w:ind w:left="36"/>
              <w:spacing w:after="0"/>
              <w:rPr>
                <w:sz w:val="20"/>
                <w:szCs w:val="20"/>
                <w:color w:val="auto"/>
              </w:rPr>
            </w:pPr>
            <w:r>
              <w:rPr>
                <w:rFonts w:ascii="Times New Roman" w:cs="Times New Roman" w:eastAsia="Times New Roman" w:hAnsi="Times New Roman"/>
                <w:sz w:val="17"/>
                <w:szCs w:val="17"/>
                <w:color w:val="0000FF"/>
                <w:w w:val="96"/>
              </w:rPr>
              <w:t>23,904.521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gridSpan w:val="3"/>
          </w:tcPr>
          <w:p>
            <w:pPr>
              <w:jc w:val="center"/>
              <w:ind w:left="36"/>
              <w:spacing w:after="0"/>
              <w:rPr>
                <w:sz w:val="20"/>
                <w:szCs w:val="20"/>
                <w:color w:val="auto"/>
              </w:rPr>
            </w:pPr>
            <w:r>
              <w:rPr>
                <w:rFonts w:ascii="Times New Roman" w:cs="Times New Roman" w:eastAsia="Times New Roman" w:hAnsi="Times New Roman"/>
                <w:sz w:val="17"/>
                <w:szCs w:val="17"/>
                <w:color w:val="0000FF"/>
                <w:w w:val="97"/>
              </w:rPr>
              <w:t>448.484</w:t>
            </w:r>
          </w:p>
        </w:tc>
        <w:tc>
          <w:tcPr>
            <w:tcW w:w="30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Member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tcPr>
          <w:p>
            <w:pPr>
              <w:jc w:val="center"/>
              <w:ind w:left="36"/>
              <w:spacing w:after="0"/>
              <w:rPr>
                <w:sz w:val="20"/>
                <w:szCs w:val="20"/>
                <w:color w:val="auto"/>
              </w:rPr>
            </w:pPr>
            <w:r>
              <w:rPr>
                <w:rFonts w:ascii="Times New Roman" w:cs="Times New Roman" w:eastAsia="Times New Roman" w:hAnsi="Times New Roman"/>
                <w:sz w:val="17"/>
                <w:szCs w:val="17"/>
                <w:color w:val="0000FF"/>
                <w:w w:val="99"/>
              </w:rPr>
              <w:t>3,100</w:t>
            </w:r>
          </w:p>
        </w:tc>
        <w:tc>
          <w:tcPr>
            <w:tcW w:w="30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 (Instr. 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w w:val="96"/>
              </w:rPr>
              <w:t>4 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636.87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636.87</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0000FF"/>
              </w:rPr>
              <w:t>80,279.11</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847.77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847.77</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0000FF"/>
              </w:rPr>
              <w:t>81,126.88</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636.87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636.87</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0000FF"/>
              </w:rPr>
              <w:t>20,163.17</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207.85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207.85</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0000FF"/>
              </w:rPr>
              <w:t>20,371.02</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3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802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19,569.02</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-3414395</wp:posOffset>
            </wp:positionV>
            <wp:extent cx="29210" cy="3419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4194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shares from an additional deferred share award granted on June 10, 2025 (and corresponding disposition of such award) in accordance with the terms of the Stock Incentive Plan. Includes an amount equal to the aggregate dividends for which there has been a record date since June 10, 2025.</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annual award of deferred shares under the Stock Incentive Plan having a grant date fair value of $105,000. Shares will be delivered following the Director's departure from the Board, under and subject to the terms of the Plan.</w:t>
      </w:r>
    </w:p>
    <w:p>
      <w:pPr>
        <w:spacing w:after="0" w:line="17" w:lineRule="exact"/>
        <w:rPr>
          <w:rFonts w:ascii="Times New Roman" w:cs="Times New Roman" w:eastAsia="Times New Roman" w:hAnsi="Times New Roman"/>
          <w:sz w:val="13"/>
          <w:szCs w:val="13"/>
          <w:color w:val="008000"/>
        </w:rPr>
      </w:pPr>
    </w:p>
    <w:p>
      <w:pPr>
        <w:ind w:left="40" w:right="200" w:firstLine="2"/>
        <w:spacing w:after="0" w:line="291"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Constitutes an award of deferred shares under the Stock Incentive Plan having a grant date fair value equal to the aggregate dividends on any previously granted annual award of deferred shares under the Plan for which there has been a record date since June 10, 2025. Deferred shares will be delivered at the same time the shares subject to the annual award are delivered, under and subject to the terms of the Plan.</w:t>
      </w:r>
    </w:p>
    <w:p>
      <w:pPr>
        <w:ind w:left="40" w:right="16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additional award of deferred shares under the Stock Incentive Plan having a grant date fair value of $105,000. Shares vest on the date immediately preceding the date of the Company's annual meeting of shareholders next succeeding the award grant date, provided that the recipient is still a Director on that date or, to the extent provided by the terms of the award document, in connection with an earlier Change of Control. Vested shares will be delivered following vesting or following the Director's departure from the Board, in accordance with the Director's advance irrevocable election, if any, under and subject to the terms of the Plan.</w:t>
      </w:r>
    </w:p>
    <w:p>
      <w:pPr>
        <w:spacing w:after="0" w:line="27"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award of deferred shares under the Stock Incentive Plan having a value equal to the aggregate dividends on any previously granted additional award of deferred shares under the Plan, which have not yet been delivered to the Director, and for which there has been a record date since June 10, 2025. Deferred shares will be delivered at the same time the shares subject to the applicable additional award are delivered, under and subject to the terms of the Plan.</w:t>
      </w:r>
    </w:p>
    <w:p>
      <w:pPr>
        <w:sectPr>
          <w:pgSz w:w="11900" w:h="16838" w:orient="portrait"/>
          <w:cols w:equalWidth="0" w:num="1">
            <w:col w:w="11080"/>
          </w:cols>
          <w:pgMar w:left="460" w:top="217" w:right="359" w:bottom="0" w:gutter="0" w:footer="0" w:header="0"/>
          <w:type w:val="continuous"/>
        </w:sectPr>
      </w:pPr>
    </w:p>
    <w:p>
      <w:pPr>
        <w:spacing w:after="0" w:line="5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Erica Farrell, by Power of</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-8890</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Attorney dated June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1250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spacing w:after="0" w:line="4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8529" TargetMode="External"/><Relationship Id="rId14" Type="http://schemas.openxmlformats.org/officeDocument/2006/relationships/hyperlink" Target="http://www.sec.gov/cgi-bin/browse-edgar?action=getcompany&amp;CIK=0000109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2026-06-11T15:35:54Z</dcterms:created>
  <dcterms:modified xsi:type="dcterms:W3CDTF">2026-06-11T15:35:54Z</dcterms:modified>
</cp:coreProperties>
</file>