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6266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266180"/>
                    </a:xfrm>
                    <a:prstGeom prst="rect">
                      <a:avLst/>
                    </a:prstGeom>
                    <a:noFill/>
                  </pic:spPr>
                </pic:pic>
              </a:graphicData>
            </a:graphic>
          </wp:anchor>
        </w:drawing>
      </w:r>
    </w:p>
    <w:p>
      <w:pPr>
        <w:spacing w:after="0" w:line="1233" w:lineRule="exact"/>
        <w:rPr>
          <w:sz w:val="24"/>
          <w:szCs w:val="24"/>
          <w:color w:val="auto"/>
        </w:rPr>
      </w:pPr>
    </w:p>
    <w:p>
      <w:pPr>
        <w:sectPr>
          <w:pgSz w:w="11900" w:h="16841"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GOODWIN C KIM</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620" w:type="dxa"/>
            <w:vAlign w:val="bottom"/>
          </w:tcPr>
          <w:p>
            <w:pPr>
              <w:ind w:left="42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THE TJX COMPANIES, INC.</w:t>
            </w:r>
          </w:p>
        </w:tc>
        <w:tc>
          <w:tcPr>
            <w:tcW w:w="122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770 COCHITUATE ROAD</w:t>
            </w:r>
          </w:p>
        </w:tc>
        <w:tc>
          <w:tcPr>
            <w:tcW w:w="122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5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FRAMINGHAM MA</w:t>
            </w: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01701</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620" w:type="dxa"/>
            <w:vAlign w:val="bottom"/>
          </w:tcPr>
          <w:p>
            <w:pPr>
              <w:ind w:left="420"/>
              <w:spacing w:after="0"/>
              <w:rPr>
                <w:sz w:val="20"/>
                <w:szCs w:val="20"/>
                <w:color w:val="auto"/>
              </w:rPr>
            </w:pPr>
            <w:r>
              <w:rPr>
                <w:rFonts w:ascii="Arial" w:cs="Arial" w:eastAsia="Arial" w:hAnsi="Arial"/>
                <w:sz w:val="13"/>
                <w:szCs w:val="13"/>
                <w:color w:val="auto"/>
              </w:rPr>
              <w:t>(State)</w:t>
            </w:r>
          </w:p>
        </w:tc>
        <w:tc>
          <w:tcPr>
            <w:tcW w:w="122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TJX COMPANIES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TJX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06/09/2026</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41"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06/09/2026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802</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4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9,939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 (Instr. 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w w:val="96"/>
              </w:rPr>
              <w:t>4 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636.87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636.87</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ind w:right="22"/>
              <w:spacing w:after="0" w:line="129" w:lineRule="exact"/>
              <w:rPr>
                <w:sz w:val="20"/>
                <w:szCs w:val="20"/>
                <w:color w:val="auto"/>
              </w:rPr>
            </w:pPr>
            <w:r>
              <w:rPr>
                <w:rFonts w:ascii="Times New Roman" w:cs="Times New Roman" w:eastAsia="Times New Roman" w:hAnsi="Times New Roman"/>
                <w:sz w:val="13"/>
                <w:szCs w:val="13"/>
                <w:color w:val="0000FF"/>
              </w:rPr>
              <w:t>7,558.09</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73.67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5"/>
                <w:szCs w:val="5"/>
                <w:color w:val="auto"/>
              </w:rPr>
            </w:pPr>
          </w:p>
        </w:tc>
        <w:tc>
          <w:tcPr>
            <w:tcW w:w="74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5"/>
              </w:rPr>
              <w:t>73.67</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vMerge w:val="restart"/>
          </w:tcPr>
          <w:p>
            <w:pPr>
              <w:jc w:val="center"/>
              <w:ind w:right="22"/>
              <w:spacing w:after="0" w:line="142" w:lineRule="exact"/>
              <w:rPr>
                <w:sz w:val="20"/>
                <w:szCs w:val="20"/>
                <w:color w:val="auto"/>
              </w:rPr>
            </w:pPr>
            <w:r>
              <w:rPr>
                <w:rFonts w:ascii="Times New Roman" w:cs="Times New Roman" w:eastAsia="Times New Roman" w:hAnsi="Times New Roman"/>
                <w:sz w:val="13"/>
                <w:szCs w:val="13"/>
                <w:color w:val="0000FF"/>
              </w:rPr>
              <w:t>7,631.76</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8"/>
              </w:rPr>
              <w:t>636.87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636.87</w:t>
            </w: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ind w:right="22"/>
              <w:spacing w:after="0" w:line="129" w:lineRule="exact"/>
              <w:rPr>
                <w:sz w:val="20"/>
                <w:szCs w:val="20"/>
                <w:color w:val="auto"/>
              </w:rPr>
            </w:pPr>
            <w:r>
              <w:rPr>
                <w:rFonts w:ascii="Times New Roman" w:cs="Times New Roman" w:eastAsia="Times New Roman" w:hAnsi="Times New Roman"/>
                <w:sz w:val="13"/>
                <w:szCs w:val="13"/>
                <w:color w:val="0000FF"/>
              </w:rPr>
              <w:t>1,426.62</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8.41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5"/>
                <w:szCs w:val="5"/>
                <w:color w:val="auto"/>
              </w:rPr>
            </w:pPr>
          </w:p>
        </w:tc>
        <w:tc>
          <w:tcPr>
            <w:tcW w:w="74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center"/>
              <w:ind w:left="1"/>
              <w:spacing w:after="0" w:line="142" w:lineRule="exact"/>
              <w:rPr>
                <w:sz w:val="20"/>
                <w:szCs w:val="20"/>
                <w:color w:val="auto"/>
              </w:rPr>
            </w:pPr>
            <w:r>
              <w:rPr>
                <w:rFonts w:ascii="Times New Roman" w:cs="Times New Roman" w:eastAsia="Times New Roman" w:hAnsi="Times New Roman"/>
                <w:sz w:val="13"/>
                <w:szCs w:val="13"/>
                <w:color w:val="0000FF"/>
                <w:w w:val="96"/>
              </w:rPr>
              <w:t>8.41</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vMerge w:val="restart"/>
          </w:tcPr>
          <w:p>
            <w:pPr>
              <w:jc w:val="center"/>
              <w:ind w:right="22"/>
              <w:spacing w:after="0" w:line="142" w:lineRule="exact"/>
              <w:rPr>
                <w:sz w:val="20"/>
                <w:szCs w:val="20"/>
                <w:color w:val="auto"/>
              </w:rPr>
            </w:pPr>
            <w:r>
              <w:rPr>
                <w:rFonts w:ascii="Times New Roman" w:cs="Times New Roman" w:eastAsia="Times New Roman" w:hAnsi="Times New Roman"/>
                <w:sz w:val="13"/>
                <w:szCs w:val="13"/>
                <w:color w:val="0000FF"/>
              </w:rPr>
              <w:t>1,435.03</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60" w:type="dxa"/>
            <w:vAlign w:val="bottom"/>
            <w:vMerge w:val="restart"/>
          </w:tcPr>
          <w:p>
            <w:pPr>
              <w:jc w:val="center"/>
              <w:ind w:right="122"/>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06/09/2026</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32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802</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jc w:val="center"/>
              <w:ind w:right="2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jc w:val="center"/>
              <w:ind w:left="160"/>
              <w:spacing w:after="0" w:line="142" w:lineRule="exact"/>
              <w:rPr>
                <w:sz w:val="20"/>
                <w:szCs w:val="20"/>
                <w:color w:val="auto"/>
              </w:rPr>
            </w:pPr>
            <w:r>
              <w:rPr>
                <w:rFonts w:ascii="Times New Roman" w:cs="Times New Roman" w:eastAsia="Times New Roman" w:hAnsi="Times New Roman"/>
                <w:sz w:val="13"/>
                <w:szCs w:val="13"/>
                <w:color w:val="0000FF"/>
              </w:rPr>
              <w:t>633.03</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-3414395</wp:posOffset>
            </wp:positionV>
            <wp:extent cx="29210" cy="3419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4194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shares from an additional deferred share award granted on June 10, 2025 (and corresponding disposition of such award) in accordance with the terms of the Stock Incentive Plan. Includes an amount equal to the aggregate dividends for which there has been a record date since June 10, 2025.</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annual award of deferred shares under the Stock Incentive Plan having a grant date fair value of $105,000. Shares will be delivered following the Director's departure from the Board, under and subject to the terms of the Plan.</w:t>
      </w:r>
    </w:p>
    <w:p>
      <w:pPr>
        <w:spacing w:after="0" w:line="17" w:lineRule="exact"/>
        <w:rPr>
          <w:rFonts w:ascii="Times New Roman" w:cs="Times New Roman" w:eastAsia="Times New Roman" w:hAnsi="Times New Roman"/>
          <w:sz w:val="13"/>
          <w:szCs w:val="13"/>
          <w:color w:val="008000"/>
        </w:rPr>
      </w:pPr>
    </w:p>
    <w:p>
      <w:pPr>
        <w:ind w:left="40" w:right="200" w:firstLine="2"/>
        <w:spacing w:after="0" w:line="291"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Constitutes an award of deferred shares under the Stock Incentive Plan having a grant date fair value equal to the aggregate dividends on any previously granted annual award of deferred shares under the Plan for which there has been a record date since June 10, 2025. Deferred shares will be delivered at the same time the shares subject to the annual award are delivered, under and subject to the terms of the Plan.</w:t>
      </w:r>
    </w:p>
    <w:p>
      <w:pPr>
        <w:ind w:left="40" w:right="16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additional award of deferred shares under the Stock Incentive Plan having a grant date fair value of $105,000. Shares vest on the date immediately preceding the date of the Company's annual meeting of shareholders next succeeding the award grant date, provided that the recipient is still a Director on that date or, to the extent provided by the terms of the award document, in connection with an earlier Change of Control. Vested shares will be delivered following vesting or following the Director's departure from the Board, in accordance with the Director's advance irrevocable election, if any, under and subject to the terms of the Plan.</w:t>
      </w:r>
    </w:p>
    <w:p>
      <w:pPr>
        <w:spacing w:after="0" w:line="27"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Constitutes an award of deferred shares under the Stock Incentive Plan having a value equal to the aggregate dividends on any previously granted additional award of deferred shares under the Plan, which have not yet been delivered to the Director, and for which there has been a record date since June 10, 2025. Deferred shares will be delivered at the same time the shares subject to the applicable additional award are delivered, under and subject to the terms of the Plan.</w:t>
      </w:r>
    </w:p>
    <w:p>
      <w:pPr>
        <w:spacing w:after="0" w:line="3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Erica Farrell, by Power of</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6560" w:type="dxa"/>
            <w:vAlign w:val="bottom"/>
          </w:tcPr>
          <w:p>
            <w:pPr>
              <w:spacing w:after="0"/>
              <w:rPr>
                <w:sz w:val="7"/>
                <w:szCs w:val="7"/>
                <w:color w:val="auto"/>
              </w:rPr>
            </w:pPr>
          </w:p>
        </w:tc>
        <w:tc>
          <w:tcPr>
            <w:tcW w:w="208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 dated June 11, 2025</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560" w:type="dxa"/>
            <w:vAlign w:val="bottom"/>
          </w:tcPr>
          <w:p>
            <w:pPr>
              <w:spacing w:after="0"/>
              <w:rPr>
                <w:sz w:val="19"/>
                <w:szCs w:val="19"/>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41"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731" TargetMode="External"/><Relationship Id="rId14" Type="http://schemas.openxmlformats.org/officeDocument/2006/relationships/hyperlink" Target="http://www.sec.gov/cgi-bin/browse-edgar?action=getcompany&amp;CIK=0000109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2026-06-11T15:36:12Z</dcterms:created>
  <dcterms:modified xsi:type="dcterms:W3CDTF">2026-06-11T15:36:12Z</dcterms:modified>
</cp:coreProperties>
</file>